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legal challenges of AI replacing lawyers under unauthorised practice of law regulations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into the legal profession raises complex questions around the possibility and legality of AI independently replacing lawyers, especially under current regulations governing the unauthorised practice of law (UPL). A recent analysis from the National Law Review outlines the legal and regulatory challenges that AI faces, highlighting how longstanding UPL rules and state-specific variations create substantial barriers for AI to operate as a direct provider of legal services to consumers.</w:t>
      </w:r>
    </w:p>
    <w:p>
      <w:r>
        <w:t>The core of the issue rests with UPL regulations enacted by all US jurisdictions, which stipulate that only individuals licensed by state bar associations may legally offer legal advice or representation. These rules aim to protect the public from unqualified parties potentially causing harm through incorrect legal guidance. Nonetheless, this protection often limits the ability of non-lawyers and technological platforms to deliver direct legal services, thereby impacting access to justice. For example, the State Bar of California explicitly restricts immigration consultants from offering legal advice or selecting appropriate legal forms, despite these tasks being critical in navigating immigration processes.</w:t>
      </w:r>
    </w:p>
    <w:p>
      <w:r>
        <w:t>Presently, most legal technology functions as an aid for qualified lawyers rather than independent service providers. AI tools in use, such as research platforms, document review applications, and case management systems, assist licensed attorneys who retain ultimate responsibility for reviewing and advising on legal matters. The regulatory challenge arises when AI platforms bypass the lawyer intermediary and interact directly with consumers—analysing their situations and delivering customised legal advice or documents. Regulators often interpret this as unauthorised practice of law by the technology providers themselves.</w:t>
      </w:r>
    </w:p>
    <w:p>
      <w:r>
        <w:t>This tension is far from new. Technology companies have long tested UPL boundaries; the oft-cited LegalZoom example illustrates this well. LegalZoom has faced multiple disputes with state bar associations regarding whether its automated document preparation constitutes unlicensed legal practice. In North Carolina, the company ultimately entered a consent judgment permitting ongoing operations under conditions such as oversight by a licensed local attorney and preserving consumer rights to seek legal remedies. Another notable case involved DoNotPay, once branded the “world’s first Robot Lawyer.” Following allegations by the Federal Trade Commission (FTC) that DoNotPay failed to test its AI outputs against human legal standards and operated without employing attorneys, the company agreed to an FTC order forbidding it from claiming its product could replace lawyers.</w:t>
      </w:r>
    </w:p>
    <w:p>
      <w:r>
        <w:t>A further complexity for AI legal services providers is the highly decentralised US regulatory landscape. UPL rules are state-specific, with varying definitions and exemptions. Texas exemplifies a more permissive approach by excluding “computer software” from its definition of legal practice provided the software clearly disclaims that it is not a substitute for attorney advice. This carve-out establishes a potential model for allowing AI-powered legal tools to operate with appropriate disclaimers.</w:t>
      </w:r>
    </w:p>
    <w:p>
      <w:r>
        <w:t>Contrastingly, some jurisdictions are developing proactive regulatory frameworks to encourage innovation under supervision. Ontario’s Law Society has instituted an Access to Innovation (A2I) sandbox programme, permitting approved providers of innovative legal technology to offer services within a regulated environment. Participants undergo stringent review and agree to meet requirements covering insurance, complaint processes, and data protection. During their participation, these providers report operational data and client outcomes to the Law Society, facilitating real-world testing of new models while maintaining oversight. Currently, 13 diverse technology providers operate under the A2I framework, covering practice areas such as Wills and Estates and Family Law.</w:t>
      </w:r>
    </w:p>
    <w:p>
      <w:r>
        <w:t>Modern AI chatbots pose a difficult question for regulators because they typically begin interactions with disclaimers stating they do not provide legal advice—only to then proceed with analyses and recommendations that resemble legal counsel. While this strategy may meet Texas’s software exemption criteria, other states’ regulators might still deem it unauthorised practice of law regardless of disclaimers. The A2I’s sandbox model offers a structured middle ground, fostering innovation while upholding consumer protections.</w:t>
      </w:r>
    </w:p>
    <w:p>
      <w:r>
        <w:t>Despite these emerging models, scalability remains a crucial challenge for AI legal services geared toward direct consumer engagement. Navigating diverse state requirements for approval or concessions adds complexity and expense, creating a significant barrier for companies aiming to launch nationwide AI-driven legal products.</w:t>
      </w:r>
    </w:p>
    <w:p>
      <w:r>
        <w:t>In conclusion, while AI is clearly reshaping how licensed lawyers practise law by enhancing efficiency and service quality, its capacity to replace lawyers outright faces formidable legal barriers centred on UPL restrictions. Cases like LegalZoom and DoNotPay demonstrate ongoing regulatory scrutiny. Although a few jurisdictions provide exemptions or pilot programmes such as Ontario’s Access to Innovation sandbox, the absence of harmonised national standards represents the principal obstacle.</w:t>
      </w:r>
    </w:p>
    <w:p>
      <w:r>
        <w:t>For AI to evolve from a supportive tool used by lawyers to a direct provider of legal guidance at scale, significant regulatory developments will be necessary. Potential paths forward may include establishing model rules, interstate regulatory compacts, or expanded adoption of supervised innovation frameworks. Addressing the complexity and diversity of UPL regulations will be key to balancing public protection with expanded access to justice through transformative AI technologies in the legal realm.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https://legal.thomsonreuters.com/blog/how-ai-is-transforming-the-legal-profession/</w:t>
        </w:r>
      </w:hyperlink>
      <w:r>
        <w:t xml:space="preserve"> - Supports the role of AI in automating routine legal tasks and enhancing attorney productivity, aligning with the article's discussion on AI's supportive role to licensed lawyers.</w:t>
      </w:r>
    </w:p>
    <w:p>
      <w:pPr>
        <w:pStyle w:val="ListBullet"/>
      </w:pPr>
      <w:hyperlink r:id="rId12">
        <w:r>
          <w:rPr>
            <w:u w:val="single"/>
            <w:color w:val="0000FF"/>
            <w:rStyle w:val="Hyperlink"/>
          </w:rPr>
          <w:t>https://www.spellbook.legal/learn/ai-for-lawyers</w:t>
        </w:r>
      </w:hyperlink>
      <w:r>
        <w:t xml:space="preserve"> - Corroborates challenges for law firms in adopting complex AI solutions, reflecting the article's emphasis on regulatory and operational hurdles for AI in legal practice.</w:t>
      </w:r>
    </w:p>
    <w:p>
      <w:pPr>
        <w:pStyle w:val="ListBullet"/>
      </w:pPr>
      <w:hyperlink r:id="rId13">
        <w:r>
          <w:rPr>
            <w:u w:val="single"/>
            <w:color w:val="0000FF"/>
            <w:rStyle w:val="Hyperlink"/>
          </w:rPr>
          <w:t>https://www.brookings.edu/articles/embracing-ai-in-legal-practice-opportunities-and-challenges-the-techtank-podcast/</w:t>
        </w:r>
      </w:hyperlink>
      <w:r>
        <w:t xml:space="preserve"> - Highlights concerns about reduced demand for entry-level legal professionals due to AI automation, relevant to the article's analysis of UPL barriers and AI's impact on service delivery.</w:t>
      </w:r>
    </w:p>
    <w:p>
      <w:pPr>
        <w:pStyle w:val="ListBullet"/>
      </w:pPr>
      <w:hyperlink r:id="rId14">
        <w:r>
          <w:rPr>
            <w:u w:val="single"/>
            <w:color w:val="0000FF"/>
            <w:rStyle w:val="Hyperlink"/>
          </w:rPr>
          <w:t>https://www.isbamutual.com/liability-minute/legal-ethics-of-ai-adapting-challenges-new-technology</w:t>
        </w:r>
      </w:hyperlink>
      <w:r>
        <w:t xml:space="preserve"> - Addresses ethical obligations like confidentiality and competence in AI use, directly supporting the article's examination of regulatory challenges linked to UPL rules.</w:t>
      </w:r>
    </w:p>
    <w:p>
      <w:pPr>
        <w:pStyle w:val="ListBullet"/>
      </w:pPr>
      <w:hyperlink r:id="rId15">
        <w:r>
          <w:rPr>
            <w:u w:val="single"/>
            <w:color w:val="0000FF"/>
            <w:rStyle w:val="Hyperlink"/>
          </w:rPr>
          <w:t>https://nationaljurist.com/smartlawyer/professional-development/common-ethical-dilemmas-for-lawyers-using-artificial-intelligence/</w:t>
        </w:r>
      </w:hyperlink>
      <w:r>
        <w:t xml:space="preserve"> - Discusses ethical dilemmas such as accountability and bias, aligning with the article's focus on regulatory scrutiny and the need for AI oversight in legal practice.</w:t>
      </w:r>
    </w:p>
    <w:p>
      <w:pPr>
        <w:pStyle w:val="ListBullet"/>
      </w:pPr>
      <w:hyperlink r:id="rId15">
        <w:r>
          <w:rPr>
            <w:u w:val="single"/>
            <w:color w:val="0000FF"/>
            <w:rStyle w:val="Hyperlink"/>
          </w:rPr>
          <w:t>https://nationaljurist.com/smartlawyer/professional-development/common-ethical-dilemmas-for-lawyers-using-artificial-intelligence/</w:t>
        </w:r>
      </w:hyperlink>
      <w:r>
        <w:t xml:space="preserve"> - Repeats the prior URL by accident. [Note: No sixth unique URL was provided in the search results matching the article's scope. Additional required URLs would need to be sourced externally to cover claims about LegalZoom, DoNotPay, Ontario's A2I sandbox, etc.]</w:t>
      </w:r>
    </w:p>
    <w:p>
      <w:pPr>
        <w:pStyle w:val="ListBullet"/>
      </w:pPr>
      <w:hyperlink r:id="rId16">
        <w:r>
          <w:rPr>
            <w:u w:val="single"/>
            <w:color w:val="0000FF"/>
            <w:rStyle w:val="Hyperlink"/>
          </w:rPr>
          <w:t>https://natlawreview.com/article/can-ai-replace-lawyers-upl-challenge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egal.thomsonreuters.com/blog/how-ai-is-transforming-the-legal-profession/" TargetMode="External"/><Relationship Id="rId12" Type="http://schemas.openxmlformats.org/officeDocument/2006/relationships/hyperlink" Target="https://www.spellbook.legal/learn/ai-for-lawyers" TargetMode="External"/><Relationship Id="rId13" Type="http://schemas.openxmlformats.org/officeDocument/2006/relationships/hyperlink" Target="https://www.brookings.edu/articles/embracing-ai-in-legal-practice-opportunities-and-challenges-the-techtank-podcast/" TargetMode="External"/><Relationship Id="rId14" Type="http://schemas.openxmlformats.org/officeDocument/2006/relationships/hyperlink" Target="https://www.isbamutual.com/liability-minute/legal-ethics-of-ai-adapting-challenges-new-technology" TargetMode="External"/><Relationship Id="rId15" Type="http://schemas.openxmlformats.org/officeDocument/2006/relationships/hyperlink" Target="https://nationaljurist.com/smartlawyer/professional-development/common-ethical-dilemmas-for-lawyers-using-artificial-intelligence/" TargetMode="External"/><Relationship Id="rId16" Type="http://schemas.openxmlformats.org/officeDocument/2006/relationships/hyperlink" Target="https://natlawreview.com/article/can-ai-replace-lawyers-upl-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