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Universities embrace playful outreach to reshape perceptions and engage communities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depictions of academia appear on screen, they often reinforce the stereotype of lofty institutions characterised by grand architecture, vast shelves of dusty books, and academics cloaked in tweed blazers with leather elbow patches. Yet, these images mask the substantial efforts underway within universities to dismantle the notion of the figurative ivory tower, making academic life more relatable and accessible to wider communities. A vibrant example of this move toward inclusivity and playfulness is found in outreach projects that engage children, particularly those from less-advantaged backgrounds, helping bridge gaps between universities and the local schools around them.</w:t>
      </w:r>
      <w:r/>
    </w:p>
    <w:p>
      <w:r/>
      <w:r>
        <w:t>One standout initiative in this vein is School Tasking, inspired by the jocular TV show Taskmaster, where comedians undertake whimsical challenges to earn points from the eponymous “Taskmaster.” School Tasking adapts this playful format for primary school children aged 9 to 10, combining early education with fun, and fostering important skills such as reasoning and critical thinking. Operated by staff and students across over 30 higher education institutions in the UK and Ireland, the programme relies heavily on creating meaningful relationships between children and university representatives. Here, academia sheds its dusty book image and instead becomes synonymous with playful activities like crafting miniature figures, flying paper planes, or experimenting with snails in bottles of rice — a refreshing alternative that counters the cold, exclusive image traditionally associated with universities.</w:t>
      </w:r>
      <w:r/>
    </w:p>
    <w:p>
      <w:r/>
      <w:r>
        <w:t>This playful approach underscores a broader lesson for effective outreach in higher education: engaging young people means striking a tone of levity and openness without losing educational value. Importantly, this strategy acknowledges that playfulness doesn’t come naturally to every academic, nor should it be forced; outreach efforts poorly executed risk reinforcing, rather than dispelling, academic aloofness. For those who embrace it, success hinges on not taking oneself too seriously, being open to diverse ideas, and fostering an environment where curiosity and discussion flourish.</w:t>
      </w:r>
      <w:r/>
    </w:p>
    <w:p>
      <w:r/>
      <w:r>
        <w:t>Practical takeaways from initiatives like School Tasking include harnessing elements of popular culture and playful competition to spark interest. For example, legal education activities within the programme use the playful dispute over whether Jaffa Cakes are cakes or biscuits to highlight the importance of language nuances. Such cultural hooks make academic concepts accessible and relevant for children, helping them see the connections between their interests and academic subjects. Moreover, ongoing collaboration — listening to feedback from children, university students, and other institutions — is critical in refining outreach activities to maximise engagement and playfulness.</w:t>
      </w:r>
      <w:r/>
    </w:p>
    <w:p>
      <w:r/>
      <w:r>
        <w:t>Beyond early intervention, other outreach efforts similarly emphasise play’s role in child development and learning. The University of Galway’s Youth Academy, for instance, offers multidisciplinary courses for children aged 10 to 13 aimed at demystifying university life and encouraging positive perceptions of higher education. Meanwhile, campaigns like Playful Childhoods’ Project Play promote outdoor play as a foundation for emotional and physical well-being, reinforcing that play remains vital across childhood and educational settings. Complementary educational research advocates for playful learning methodologies, including music education models that blend guided play and creativity to deepen engagement and support holistic learning.</w:t>
      </w:r>
      <w:r/>
    </w:p>
    <w:p>
      <w:r/>
      <w:r>
        <w:t>Foundations dedicated to playwork and policy underscore the societal value of preserving play in childhood, advocating comprehensive support for play initiatives inside and outside schools. Teacher training programmes increasingly integrate scientific research on effective literacy instruction with playful methods, equipping educators with strategies to embed playful learning within their practice. Similarly, practical resources and advice for primary classrooms highlight how incorporating playful learning can cultivate creativity, resilience, and enthusiasm across academic subjects, benefitting children well beyond their early years.</w:t>
      </w:r>
      <w:r/>
    </w:p>
    <w:p>
      <w:r/>
      <w:r>
        <w:t>Ultimately, playful academic outreach presents universities as dynamic centres of creativity and innovative research with genuine community relevance. By embracing the occasional self-deprecating humour exemplified by programmes like Taskmaster, universities may transform public perceptions — fostering connections that extend well beyond formal classrooms. While not all academics may revel in this playful role, those who do contribute to building a more inclusive and engaging higher education landscape, one where knowledge flows freely to communities rather than remaining enclosed within traditional ivory towers.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(Times Higher Education)</w:t>
      </w:r>
      <w:r/>
    </w:p>
    <w:p>
      <w:pPr>
        <w:pStyle w:val="ListBullet"/>
        <w:spacing w:line="240" w:lineRule="auto"/>
        <w:ind w:left="720"/>
      </w:pPr>
      <w:r/>
      <w:r>
        <w:t xml:space="preserve">Paragraph 2 – </w:t>
      </w:r>
      <w:hyperlink r:id="rId9">
        <w:r>
          <w:rPr>
            <w:color w:val="0000EE"/>
            <w:u w:val="single"/>
          </w:rPr>
          <w:t>[1]</w:t>
        </w:r>
      </w:hyperlink>
      <w:r>
        <w:t xml:space="preserve"> (Times Higher Education)</w:t>
      </w:r>
      <w:r/>
    </w:p>
    <w:p>
      <w:pPr>
        <w:pStyle w:val="ListBullet"/>
        <w:spacing w:line="240" w:lineRule="auto"/>
        <w:ind w:left="720"/>
      </w:pPr>
      <w:r/>
      <w:r>
        <w:t xml:space="preserve">Paragraph 3 – </w:t>
      </w:r>
      <w:hyperlink r:id="rId9">
        <w:r>
          <w:rPr>
            <w:color w:val="0000EE"/>
            <w:u w:val="single"/>
          </w:rPr>
          <w:t>[1]</w:t>
        </w:r>
      </w:hyperlink>
      <w:r>
        <w:t xml:space="preserve"> (Times Higher Education)</w:t>
      </w:r>
      <w:r/>
    </w:p>
    <w:p>
      <w:pPr>
        <w:pStyle w:val="ListBullet"/>
        <w:spacing w:line="240" w:lineRule="auto"/>
        <w:ind w:left="720"/>
      </w:pPr>
      <w:r/>
      <w:r>
        <w:t xml:space="preserve">Paragraph 4 – </w:t>
      </w:r>
      <w:hyperlink r:id="rId9">
        <w:r>
          <w:rPr>
            <w:color w:val="0000EE"/>
            <w:u w:val="single"/>
          </w:rPr>
          <w:t>[1]</w:t>
        </w:r>
      </w:hyperlink>
      <w:r>
        <w:t xml:space="preserve"> (Times Higher Education)</w:t>
      </w:r>
      <w:r/>
    </w:p>
    <w:p>
      <w:pPr>
        <w:pStyle w:val="ListBullet"/>
        <w:spacing w:line="240" w:lineRule="auto"/>
        <w:ind w:left="720"/>
      </w:pPr>
      <w:r/>
      <w:r>
        <w:t xml:space="preserve">Paragraph 5 – </w:t>
      </w:r>
      <w:hyperlink r:id="rId10">
        <w:r>
          <w:rPr>
            <w:color w:val="0000EE"/>
            <w:u w:val="single"/>
          </w:rPr>
          <w:t>[2]</w:t>
        </w:r>
      </w:hyperlink>
      <w:r>
        <w:t xml:space="preserve"> (University of Galway), </w:t>
      </w:r>
      <w:hyperlink r:id="rId11">
        <w:r>
          <w:rPr>
            <w:color w:val="0000EE"/>
            <w:u w:val="single"/>
          </w:rPr>
          <w:t>[3]</w:t>
        </w:r>
      </w:hyperlink>
      <w:r>
        <w:t xml:space="preserve"> (Playful Childhoods), </w:t>
      </w:r>
      <w:hyperlink r:id="rId12">
        <w:r>
          <w:rPr>
            <w:color w:val="0000EE"/>
            <w:u w:val="single"/>
          </w:rPr>
          <w:t>[4]</w:t>
        </w:r>
      </w:hyperlink>
      <w:r>
        <w:t xml:space="preserve"> (Cambridge University)</w:t>
      </w:r>
      <w:r/>
    </w:p>
    <w:p>
      <w:pPr>
        <w:pStyle w:val="ListBullet"/>
        <w:spacing w:line="240" w:lineRule="auto"/>
        <w:ind w:left="720"/>
      </w:pPr>
      <w:r/>
      <w:r>
        <w:t xml:space="preserve">Paragraph 6 – </w:t>
      </w:r>
      <w:hyperlink r:id="rId13">
        <w:r>
          <w:rPr>
            <w:color w:val="0000EE"/>
            <w:u w:val="single"/>
          </w:rPr>
          <w:t>[5]</w:t>
        </w:r>
      </w:hyperlink>
      <w:r>
        <w:t xml:space="preserve"> (Playwork Foundation), </w:t>
      </w:r>
      <w:hyperlink r:id="rId14">
        <w:r>
          <w:rPr>
            <w:color w:val="0000EE"/>
            <w:u w:val="single"/>
          </w:rPr>
          <w:t>[6]</w:t>
        </w:r>
      </w:hyperlink>
      <w:r>
        <w:t xml:space="preserve"> (Deirdre O'Toole), </w:t>
      </w:r>
      <w:hyperlink r:id="rId15">
        <w:r>
          <w:rPr>
            <w:color w:val="0000EE"/>
            <w:u w:val="single"/>
          </w:rPr>
          <w:t>[7]</w:t>
        </w:r>
      </w:hyperlink>
      <w:r>
        <w:t xml:space="preserve"> (Bloomsbury)</w:t>
      </w:r>
      <w:r/>
    </w:p>
    <w:p>
      <w:pPr>
        <w:pStyle w:val="ListBullet"/>
        <w:spacing w:line="240" w:lineRule="auto"/>
        <w:ind w:left="720"/>
      </w:pPr>
      <w:r/>
      <w:r>
        <w:t xml:space="preserve">Paragraph 7 – </w:t>
      </w:r>
      <w:hyperlink r:id="rId9">
        <w:r>
          <w:rPr>
            <w:color w:val="0000EE"/>
            <w:u w:val="single"/>
          </w:rPr>
          <w:t>[1]</w:t>
        </w:r>
      </w:hyperlink>
      <w:r>
        <w:t xml:space="preserve"> (Times Higher Education)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https://www.timeshighereducation.com/campus/snails-jaffa-cakes-and-rubber-ducks-making-outreach-playful</w:t>
        </w:r>
      </w:hyperlink>
      <w:r>
        <w:t xml:space="preserve"> - Please view link - unable to able to access data</w:t>
      </w:r>
      <w:r/>
    </w:p>
    <w:p>
      <w:pPr>
        <w:pStyle w:val="ListNumber"/>
        <w:spacing w:line="240" w:lineRule="auto"/>
        <w:ind w:left="720"/>
      </w:pPr>
      <w:r/>
      <w:hyperlink r:id="rId10">
        <w:r>
          <w:rPr>
            <w:color w:val="0000EE"/>
            <w:u w:val="single"/>
          </w:rPr>
          <w:t>https://www.universityofgalway.ie/youthacademy/background/</w:t>
        </w:r>
      </w:hyperlink>
      <w:r>
        <w:t xml:space="preserve"> - The Youth Academy at University of Galway is a primary school outreach programme that has evolved from a small-scale pilot project in 2012 to one of the most extensive in the West of Ireland. It offers multidisciplinary courses to primary school children aged 10 to 13, aiming to inspire entry into university by introducing children and their families to university life and creating positive perceptions of the university and its academic programmes.</w:t>
      </w:r>
      <w:r/>
    </w:p>
    <w:p>
      <w:pPr>
        <w:pStyle w:val="ListNumber"/>
        <w:spacing w:line="240" w:lineRule="auto"/>
        <w:ind w:left="720"/>
      </w:pPr>
      <w:r/>
      <w:hyperlink r:id="rId11">
        <w:r>
          <w:rPr>
            <w:color w:val="0000EE"/>
            <w:u w:val="single"/>
          </w:rPr>
          <w:t>https://outdoorclassroomday.org.uk/2019/10/28/playful-childhoods-launches-autumn-campaign-to-get-children-outside/</w:t>
        </w:r>
      </w:hyperlink>
      <w:r>
        <w:t xml:space="preserve"> - Playful Childhoods launched Project Play Autumn in 2019 to encourage children to engage in outdoor play during the colder months. The campaign advocates for all forms of play, whether at home, at school, or in the community, and aims to provide safe, inclusive play environments to all children at any time of year, promoting emotional and physical health and laying the foundations for future well-being.</w:t>
      </w:r>
      <w:r/>
    </w:p>
    <w:p>
      <w:pPr>
        <w:pStyle w:val="ListNumber"/>
        <w:spacing w:line="240" w:lineRule="auto"/>
        <w:ind w:left="720"/>
      </w:pPr>
      <w:r/>
      <w:hyperlink r:id="rId12">
        <w:r>
          <w:rPr>
            <w:color w:val="0000EE"/>
            <w:u w:val="single"/>
          </w:rPr>
          <w:t>https://resolve.cambridge.org/core/services/aop-cambridge-core/content/view/92538CED0B16C98F0D92AB571EF691AC/S0265051724000123a.pdf/towards_a_model_of_playful_music_learning_for_primary_classrooms_recommendations_based_on_a_review_of_literature.pdf</w:t>
        </w:r>
      </w:hyperlink>
      <w:r>
        <w:t xml:space="preserve"> - This article presents a conceptual model for playful music learning in primary classrooms, based on a review of literature. It outlines playful elements associated with music education pedagogues Kodály and Kodály, and other researchers in the field, and provides examples of musical games-play and guided musical play for primary classrooms, along with recommendations to support teachers in facilitating increasingly playful music learning.</w:t>
      </w:r>
      <w:r/>
    </w:p>
    <w:p>
      <w:pPr>
        <w:pStyle w:val="ListNumber"/>
        <w:spacing w:line="240" w:lineRule="auto"/>
        <w:ind w:left="720"/>
      </w:pPr>
      <w:r/>
      <w:hyperlink r:id="rId13">
        <w:r>
          <w:rPr>
            <w:color w:val="0000EE"/>
            <w:u w:val="single"/>
          </w:rPr>
          <w:t>https://playwork.foundation/</w:t>
        </w:r>
      </w:hyperlink>
      <w:r>
        <w:t xml:space="preserve"> - The Playwork Foundation is dedicated to supporting playwork, playworkers, and play in the UK. It offers resources, training, and advocacy to promote the value of play in children's development and well-being. The foundation also engages in research and policy work to ensure that play remains a central aspect of children's lives, both in and out of school settings.</w:t>
      </w:r>
      <w:r/>
    </w:p>
    <w:p>
      <w:pPr>
        <w:pStyle w:val="ListNumber"/>
        <w:spacing w:line="240" w:lineRule="auto"/>
        <w:ind w:left="720"/>
      </w:pPr>
      <w:r/>
      <w:hyperlink r:id="rId14">
        <w:r>
          <w:rPr>
            <w:color w:val="0000EE"/>
            <w:u w:val="single"/>
          </w:rPr>
          <w:t>https://deirdre-o-toole-a76b.mykajabi.com/store</w:t>
        </w:r>
      </w:hyperlink>
      <w:r>
        <w:t xml:space="preserve"> - Deirdre O'Toole offers online courses designed to introduce primary school teachers to the scientific research behind effective instruction for reading and writing. These courses aim to equip educators with evidence-based strategies to enhance literacy instruction, supporting teachers in implementing the Science of Reading approach in their classrooms.</w:t>
      </w:r>
      <w:r/>
    </w:p>
    <w:p>
      <w:pPr>
        <w:pStyle w:val="ListNumber"/>
        <w:spacing w:line="240" w:lineRule="auto"/>
        <w:ind w:left="720"/>
      </w:pPr>
      <w:r/>
      <w:hyperlink r:id="rId15">
        <w:r>
          <w:rPr>
            <w:color w:val="0000EE"/>
            <w:u w:val="single"/>
          </w:rPr>
          <w:t>https://www.bloomsbury.com/uk/discover/articles/features/five-tips-to-bring-playful-learning-into-every-primary-classroom/</w:t>
        </w:r>
      </w:hyperlink>
      <w:r>
        <w:t xml:space="preserve"> - This article provides five tips to incorporate playful learning into every primary classroom, emphasizing that play benefits children beyond the Early Years. It suggests activities like 'Bounce and Spell' to engage children in learning through play, fostering creativity, resilience, and deeper engagement across the curriculum.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shighereducation.com/campus/snails-jaffa-cakes-and-rubber-ducks-making-outreach-playful" TargetMode="External"/><Relationship Id="rId10" Type="http://schemas.openxmlformats.org/officeDocument/2006/relationships/hyperlink" Target="https://www.universityofgalway.ie/youthacademy/background/" TargetMode="External"/><Relationship Id="rId11" Type="http://schemas.openxmlformats.org/officeDocument/2006/relationships/hyperlink" Target="https://outdoorclassroomday.org.uk/2019/10/28/playful-childhoods-launches-autumn-campaign-to-get-children-outside/" TargetMode="External"/><Relationship Id="rId12" Type="http://schemas.openxmlformats.org/officeDocument/2006/relationships/hyperlink" Target="https://resolve.cambridge.org/core/services/aop-cambridge-core/content/view/92538CED0B16C98F0D92AB571EF691AC/S0265051724000123a.pdf/towards_a_model_of_playful_music_learning_for_primary_classrooms_recommendations_based_on_a_review_of_literature.pdf" TargetMode="External"/><Relationship Id="rId13" Type="http://schemas.openxmlformats.org/officeDocument/2006/relationships/hyperlink" Target="https://playwork.foundation/" TargetMode="External"/><Relationship Id="rId14" Type="http://schemas.openxmlformats.org/officeDocument/2006/relationships/hyperlink" Target="https://deirdre-o-toole-a76b.mykajabi.com/store" TargetMode="External"/><Relationship Id="rId15" Type="http://schemas.openxmlformats.org/officeDocument/2006/relationships/hyperlink" Target="https://www.bloomsbury.com/uk/discover/articles/features/five-tips-to-bring-playful-learning-into-every-primary-classro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