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Systemic failure leaves children with SEN facing soaring school absences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Kerry Garner’s story is a poignant example of the struggles faced by many families navigating the challenges of special educational needs (SEN) support in the UK. Her son Luke, who has ADHD and dyslexia, has experienced significant gaps in formal schooling since he started Year 7, having received only a few months of proper education in nearly five years. Despite early diagnosis and persistent efforts involving letters, meetings, and appeals, Kerry describes a system that has failed her son at almost every turn, from delayed Education, Health and Care Plan (EHCP) provision to the removal of critical support such as home-to-school transport.</w:t>
      </w:r>
      <w:r/>
    </w:p>
    <w:p>
      <w:r/>
      <w:r>
        <w:t>Luke’s difficulties emerged in primary school, with his frustration leading to behavioural issues that Kerry stresses were not acts of defiance but signs of unmet educational needs. When a primary school teacher recognised signs of dyslexia, Luke felt hopeful, but that hope was soon dashed by a lack of funding and support. The Covid-19 lockdown briefly offered some relief with home learning, but the return to school reignited Luke’s anxiety and eventually led to near-total absence by Year 9 as the system struggled to accommodate his needs.</w:t>
      </w:r>
      <w:r/>
    </w:p>
    <w:p>
      <w:r/>
      <w:r>
        <w:t>A 2024 report from the Centre for Young Lives reveals that Luke’s experience is far from isolated. The report highlights a severe "absence crisis" affecting the most vulnerable children, particularly those with SEND (Special Educational Needs and Disabilities). The persistent absence rate for pupils with an EHCP is reported at 38%, nearly double the rate for those without special needs. The study emphasises that children with SEND are substantially more likely to be absent from school, reflecting systemic shortcomings in providing adequate support and inclusive environments. This absence crisis is also notably acute in the North of England, where socioeconomic factors further compound educational inequalities.</w:t>
      </w:r>
      <w:r/>
    </w:p>
    <w:p>
      <w:r/>
      <w:r>
        <w:t>Further data from the Department for Education for the 2022/23 academic year corroborates these findings. It shows that pupils with EHCPs have an overall absence rate of 12.3%, markedly higher than the 6.6% for pupils without identified SEN. Children eligible for Free School Meals, a key indicator of deprivation, are more than twice as likely to be persistently absent, highlighting the intersection between poverty, SEN, and educational exclusion. Reports by organisations such as the Centre for Social Justice and the Centre for Young Lives also flag rising severe absence levels and the widening impact of hardship on children’s schooling, with families often feeling unsupported by overstretched and underfunded services.</w:t>
      </w:r>
      <w:r/>
    </w:p>
    <w:p>
      <w:r/>
      <w:r>
        <w:t>Kerry recounts how the withdrawal of Luke's taxi transport, which had helped him manage his anxiety and safely attend school, precipitated a further decline in attendance. Alternative provisions and home tutoring have filled some gaps, but Luke’s schooling has been fragmented and insufficient to meet his needs or secure future qualifications. The systemic failure to respond effectively to children like Luke results not only in educational exclusion but also in the loss of potential and a narrowing of life chances for vulnerable young people.</w:t>
      </w:r>
      <w:r/>
    </w:p>
    <w:p>
      <w:r/>
      <w:r>
        <w:t>Liverpool City Council has indicated it is liaising with Kerry Garner to find ways to support her son’s educational needs, but broader concerns remain about the widespread inadequacy of current resources and policies. Parents of children with SEND widely report long waits for EHCP assessments and specialist placements, reflecting chronic underfunding and staffing shortages in schools.</w:t>
      </w:r>
      <w:r/>
    </w:p>
    <w:p>
      <w:r/>
      <w:r>
        <w:t>Despite these challenges, Kerry retains hope for Luke’s future, emphasising his intelligence, humour, and desire to learn. Her plea is simple but powerful: for the school system to listen, understand, and provide real support to children like her son, rather than leaving them to fall through the cracks. The ongoing "absence crisis" and the struggles of families like the Garners underscore an urgent need for a systemic rethink focused on inclusion, meaningful support, and addressing the socioeconomic barriers that compound educational disadvantage.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(Liverpool Echo)</w:t>
      </w:r>
      <w:r/>
    </w:p>
    <w:p>
      <w:pPr>
        <w:pStyle w:val="ListBullet"/>
        <w:spacing w:line="240" w:lineRule="auto"/>
        <w:ind w:left="720"/>
      </w:pPr>
      <w:r/>
      <w:r>
        <w:t xml:space="preserve">Paragraph 2 – </w:t>
      </w:r>
      <w:hyperlink r:id="rId9">
        <w:r>
          <w:rPr>
            <w:color w:val="0000EE"/>
            <w:u w:val="single"/>
          </w:rPr>
          <w:t>[1]</w:t>
        </w:r>
      </w:hyperlink>
      <w:r>
        <w:t xml:space="preserve"> (Liverpool Echo)</w:t>
      </w:r>
      <w:r/>
    </w:p>
    <w:p>
      <w:pPr>
        <w:pStyle w:val="ListBullet"/>
        <w:spacing w:line="240" w:lineRule="auto"/>
        <w:ind w:left="720"/>
      </w:pPr>
      <w:r/>
      <w:r>
        <w:t xml:space="preserve">Paragraph 3 – </w:t>
      </w:r>
      <w:hyperlink r:id="rId9">
        <w:r>
          <w:rPr>
            <w:color w:val="0000EE"/>
            <w:u w:val="single"/>
          </w:rPr>
          <w:t>[1]</w:t>
        </w:r>
      </w:hyperlink>
      <w:r>
        <w:t xml:space="preserve"> (Liverpool Echo), </w:t>
      </w:r>
      <w:hyperlink r:id="rId10">
        <w:r>
          <w:rPr>
            <w:color w:val="0000EE"/>
            <w:u w:val="single"/>
          </w:rPr>
          <w:t>[2]</w:t>
        </w:r>
      </w:hyperlink>
      <w:r>
        <w:t xml:space="preserve"> (Centre for Young Lives)</w:t>
      </w:r>
      <w:r/>
    </w:p>
    <w:p>
      <w:pPr>
        <w:pStyle w:val="ListBullet"/>
        <w:spacing w:line="240" w:lineRule="auto"/>
        <w:ind w:left="720"/>
      </w:pPr>
      <w:r/>
      <w:r>
        <w:t xml:space="preserve">Paragraph 4 – </w:t>
      </w:r>
      <w:hyperlink r:id="rId11">
        <w:r>
          <w:rPr>
            <w:color w:val="0000EE"/>
            <w:u w:val="single"/>
          </w:rPr>
          <w:t>[4]</w:t>
        </w:r>
      </w:hyperlink>
      <w:r>
        <w:t xml:space="preserve"> (Department for Education), </w:t>
      </w:r>
      <w:hyperlink r:id="rId12">
        <w:r>
          <w:rPr>
            <w:color w:val="0000EE"/>
            <w:u w:val="single"/>
          </w:rPr>
          <w:t>[5]</w:t>
        </w:r>
      </w:hyperlink>
      <w:r>
        <w:t xml:space="preserve"> (Centre for Young Lives)</w:t>
      </w:r>
      <w:r/>
    </w:p>
    <w:p>
      <w:pPr>
        <w:pStyle w:val="ListBullet"/>
        <w:spacing w:line="240" w:lineRule="auto"/>
        <w:ind w:left="720"/>
      </w:pPr>
      <w:r/>
      <w:r>
        <w:t xml:space="preserve">Paragraph 5 – </w:t>
      </w:r>
      <w:hyperlink r:id="rId9">
        <w:r>
          <w:rPr>
            <w:color w:val="0000EE"/>
            <w:u w:val="single"/>
          </w:rPr>
          <w:t>[1]</w:t>
        </w:r>
      </w:hyperlink>
      <w:r>
        <w:t xml:space="preserve"> (Liverpool Echo), </w:t>
      </w:r>
      <w:hyperlink r:id="rId13">
        <w:r>
          <w:rPr>
            <w:color w:val="0000EE"/>
            <w:u w:val="single"/>
          </w:rPr>
          <w:t>[6]</w:t>
        </w:r>
      </w:hyperlink>
      <w:r>
        <w:t xml:space="preserve"> (Centre for Social Justice), </w:t>
      </w:r>
      <w:hyperlink r:id="rId14">
        <w:r>
          <w:rPr>
            <w:color w:val="0000EE"/>
            <w:u w:val="single"/>
          </w:rPr>
          <w:t>[7]</w:t>
        </w:r>
      </w:hyperlink>
      <w:r>
        <w:t xml:space="preserve"> (Department for Education)</w:t>
      </w:r>
      <w:r/>
    </w:p>
    <w:p>
      <w:pPr>
        <w:pStyle w:val="ListBullet"/>
        <w:spacing w:line="240" w:lineRule="auto"/>
        <w:ind w:left="720"/>
      </w:pPr>
      <w:r/>
      <w:r>
        <w:t xml:space="preserve">Paragraph 6 – </w:t>
      </w:r>
      <w:hyperlink r:id="rId9">
        <w:r>
          <w:rPr>
            <w:color w:val="0000EE"/>
            <w:u w:val="single"/>
          </w:rPr>
          <w:t>[1]</w:t>
        </w:r>
      </w:hyperlink>
      <w:r>
        <w:t xml:space="preserve"> (Liverpool Echo)</w:t>
      </w:r>
      <w:r/>
    </w:p>
    <w:p>
      <w:pPr>
        <w:pStyle w:val="ListBullet"/>
        <w:spacing w:line="240" w:lineRule="auto"/>
        <w:ind w:left="720"/>
      </w:pPr>
      <w:r/>
      <w:r>
        <w:t xml:space="preserve">Paragraph 7 – </w:t>
      </w:r>
      <w:hyperlink r:id="rId9">
        <w:r>
          <w:rPr>
            <w:color w:val="0000EE"/>
            <w:u w:val="single"/>
          </w:rPr>
          <w:t>[1]</w:t>
        </w:r>
      </w:hyperlink>
      <w:r>
        <w:t xml:space="preserve"> (Liverpool Echo), </w:t>
      </w:r>
      <w:hyperlink r:id="rId10">
        <w:r>
          <w:rPr>
            <w:color w:val="0000EE"/>
            <w:u w:val="single"/>
          </w:rPr>
          <w:t>[2]</w:t>
        </w:r>
      </w:hyperlink>
      <w:r>
        <w:t xml:space="preserve"> (Centre for Young Lives)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https://www.liverpoolecho.co.uk/news/liverpool-news/desperate-mum-says-system-failing-32693142</w:t>
        </w:r>
      </w:hyperlink>
      <w:r>
        <w:t xml:space="preserve"> - Please view link - unable to able to access data</w:t>
      </w:r>
      <w:r/>
    </w:p>
    <w:p>
      <w:pPr>
        <w:pStyle w:val="ListNumber"/>
        <w:spacing w:line="240" w:lineRule="auto"/>
        <w:ind w:left="720"/>
      </w:pPr>
      <w:r/>
      <w:hyperlink r:id="rId10">
        <w:r>
          <w:rPr>
            <w:color w:val="0000EE"/>
            <w:u w:val="single"/>
          </w:rPr>
          <w:t>https://www.centreforyounglives.org.uk/news-centre/call-for-new-era-of-school-inclusion-and-belonging-as-attendance-crisis-report-warns-children-in-the-north-and-children-with-sen-are-more-likely-to-be-persistently-missing-school</w:t>
        </w:r>
      </w:hyperlink>
      <w:r>
        <w:t xml:space="preserve"> - A report by the Centre for Young Lives highlights a 57% surge in school absence since 2015, with children in the North and those with Special Educational Needs (SEN) being more likely to be persistently absent. The report calls for a new era of school inclusion and belonging to address this crisis.</w:t>
      </w:r>
      <w:r/>
    </w:p>
    <w:p>
      <w:pPr>
        <w:pStyle w:val="ListNumber"/>
        <w:spacing w:line="240" w:lineRule="auto"/>
        <w:ind w:left="720"/>
      </w:pPr>
      <w:r/>
      <w:hyperlink r:id="rId16">
        <w:r>
          <w:rPr>
            <w:color w:val="0000EE"/>
            <w:u w:val="single"/>
          </w:rPr>
          <w:t>https://www.centreforyounglives.org.uk/news-centre/centre-for-young-lives-2025-state-of-childhood-vulnerability-report-warns-the-covid-pandemic-is-still-casting-a-long-shadow-over-millions-of-children-in-england-five-years-on</w:t>
        </w:r>
      </w:hyperlink>
      <w:r>
        <w:t xml:space="preserve"> - The Centre for Young Lives' 2025 State of Childhood Vulnerability report warns that the Covid pandemic continues to impact millions of children in England five years on, with more children identified with special educational needs and a doubling in the prevalence of children with diagnosable mental health problems since 2017.</w:t>
      </w:r>
      <w:r/>
    </w:p>
    <w:p>
      <w:pPr>
        <w:pStyle w:val="ListNumber"/>
        <w:spacing w:line="240" w:lineRule="auto"/>
        <w:ind w:left="720"/>
      </w:pPr>
      <w:r/>
      <w:hyperlink r:id="rId11">
        <w:r>
          <w:rPr>
            <w:color w:val="0000EE"/>
            <w:u w:val="single"/>
          </w:rPr>
          <w:t>https://explore-education-statistics.service.gov.uk/find-statistics/pupil-absence-in-schools-in-england/2022-23</w:t>
        </w:r>
      </w:hyperlink>
      <w:r>
        <w:t xml:space="preserve"> - The Department for Education's statistics for the 2022/23 academic year show that pupils with an Education, Health and Care (EHC) plan had an overall absence rate of 12.3%, compared to 10.2% for pupils with SEN support and 6.6% for those with no identified SEN.</w:t>
      </w:r>
      <w:r/>
    </w:p>
    <w:p>
      <w:pPr>
        <w:pStyle w:val="ListNumber"/>
        <w:spacing w:line="240" w:lineRule="auto"/>
        <w:ind w:left="720"/>
      </w:pPr>
      <w:r/>
      <w:hyperlink r:id="rId12">
        <w:r>
          <w:rPr>
            <w:color w:val="0000EE"/>
            <w:u w:val="single"/>
          </w:rPr>
          <w:t>https://www.centreforyounglives.org.uk/news-centre/centre-for-young-lives-report-warns-poverty-and-hardship-are-preventing-some-children-from-attending-school-amid-big-increases-in-persistent-and-severe-absence-among-children-receiving-free-school-meals</w:t>
        </w:r>
      </w:hyperlink>
      <w:r>
        <w:t xml:space="preserve"> - A Centre for Young Lives report warns that poverty and hardship are preventing some children from attending school, with significant increases in persistent and severe absence among children receiving Free School Meals. The report calls for policy changes to address these issues.</w:t>
      </w:r>
      <w:r/>
    </w:p>
    <w:p>
      <w:pPr>
        <w:pStyle w:val="ListNumber"/>
        <w:spacing w:line="240" w:lineRule="auto"/>
        <w:ind w:left="720"/>
      </w:pPr>
      <w:r/>
      <w:hyperlink r:id="rId13">
        <w:r>
          <w:rPr>
            <w:color w:val="0000EE"/>
            <w:u w:val="single"/>
          </w:rPr>
          <w:t>https://www.centreforsocialjustice.org.uk/newsroom/school-absence-crisis-now-entrenched-new-data-reveals</w:t>
        </w:r>
      </w:hyperlink>
      <w:r>
        <w:t xml:space="preserve"> - The Centre for Social Justice reports that the school absence crisis is now entrenched, with severe absence hitting new record levels for an autumn term. Children on Free School Meals are nearly four times more likely to be severely absent than their peers, and those with an Education, Health and Care plan are seven times more likely.</w:t>
      </w:r>
      <w:r/>
    </w:p>
    <w:p>
      <w:pPr>
        <w:pStyle w:val="ListNumber"/>
        <w:spacing w:line="240" w:lineRule="auto"/>
        <w:ind w:left="720"/>
      </w:pPr>
      <w:r/>
      <w:hyperlink r:id="rId14">
        <w:r>
          <w:rPr>
            <w:color w:val="0000EE"/>
            <w:u w:val="single"/>
          </w:rPr>
          <w:t>https://explore-education-statistics.service.gov.uk/find-statistics/pupil-absence-in-schools-in-england/2024-25-autumn-and-spring-term</w:t>
        </w:r>
      </w:hyperlink>
      <w:r>
        <w:t xml:space="preserve"> - Department for Education data for the 2024/25 academic year shows that pupils eligible for Free School Meals are over two and a half times as likely to be persistently absent as pupils not eligible, with severe absence increasing slightly for both groups.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liverpool-news/desperate-mum-says-system-failing-32693142" TargetMode="External"/><Relationship Id="rId10" Type="http://schemas.openxmlformats.org/officeDocument/2006/relationships/hyperlink" Target="https://www.centreforyounglives.org.uk/news-centre/call-for-new-era-of-school-inclusion-and-belonging-as-attendance-crisis-report-warns-children-in-the-north-and-children-with-sen-are-more-likely-to-be-persistently-missing-school" TargetMode="External"/><Relationship Id="rId11" Type="http://schemas.openxmlformats.org/officeDocument/2006/relationships/hyperlink" Target="https://explore-education-statistics.service.gov.uk/find-statistics/pupil-absence-in-schools-in-england/2022-23" TargetMode="External"/><Relationship Id="rId12" Type="http://schemas.openxmlformats.org/officeDocument/2006/relationships/hyperlink" Target="https://www.centreforyounglives.org.uk/news-centre/centre-for-young-lives-report-warns-poverty-and-hardship-are-preventing-some-children-from-attending-school-amid-big-increases-in-persistent-and-severe-absence-among-children-receiving-free-school-meals" TargetMode="External"/><Relationship Id="rId13" Type="http://schemas.openxmlformats.org/officeDocument/2006/relationships/hyperlink" Target="https://www.centreforsocialjustice.org.uk/newsroom/school-absence-crisis-now-entrenched-new-data-reveals" TargetMode="External"/><Relationship Id="rId14" Type="http://schemas.openxmlformats.org/officeDocument/2006/relationships/hyperlink" Target="https://explore-education-statistics.service.gov.uk/find-statistics/pupil-absence-in-schools-in-england/2024-25-autumn-and-spring-term" TargetMode="External"/><Relationship Id="rId15" Type="http://schemas.openxmlformats.org/officeDocument/2006/relationships/hyperlink" Target="https://www.noahwire.com" TargetMode="External"/><Relationship Id="rId16" Type="http://schemas.openxmlformats.org/officeDocument/2006/relationships/hyperlink" Target="https://www.centreforyounglives.org.uk/news-centre/centre-for-young-lives-2025-state-of-childhood-vulnerability-report-warns-the-covid-pandemic-is-still-casting-a-long-shadow-over-millions-of-children-in-england-five-year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