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faces tough choices on funding SEND reforms amid fiscal constraints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Rachel Reeves, the UK Chancellor, has been cautioned about the high costs associated with urgently needed reforms to the special educational needs and disabilities (SEND) system. Labour MP Helen Hayes, chair of the Education Select Committee, emphasized that the SEND system is currently "extremely broken" and warned that any attempts to cut funding could exacerbate its problems. Hayes told Reeves that necessary changes will require “transformation funding” and that these reforms will not come without financial investment.</w:t>
      </w:r>
      <w:r/>
    </w:p>
    <w:p>
      <w:r/>
      <w:r>
        <w:t>The SEND system, which supports children with special educational needs, has been in crisis for some time. The government’s Plans to overhaul the SEND programme, originally slated for release in the autumn, have now been postponed until next year. This delay comes as the Chancellor prepares to announce the Budget on 26 November, a budget expected to include tax rises and spending cuts, which raises concerns about the availability of funds for SEND improvements.</w:t>
      </w:r>
      <w:r/>
    </w:p>
    <w:p>
      <w:r/>
      <w:r>
        <w:t>According to Hayes, stabilizing the SEND system expenditure is vital, but significant cost savings are unlikely. She pointed out the scale of the SEND budget is relatively small—around £9 billion annually—compared to the welfare budget, which stands at approximately £300 billion. Hence, she argued that reducing SEND funding would neither be fiscally prudent nor beneficial to the children and families who depend on it. Hayes also highlighted the need for investing in upskilling teachers and teaching assistants, improving school facilities like wheelchair access, and enhancing early speech and language support. These investments, though costly initially, are expected to reduce longer-term support costs.</w:t>
      </w:r>
      <w:r/>
    </w:p>
    <w:p>
      <w:r/>
      <w:r>
        <w:t>The Education Select Committee’s recent report calls for a major cultural shift in how SEND is integrated into mainstream schools. Hayes stressed the importance of making mainstream settings more inclusive for children with SEND, adding that such efforts would require adequate financial support from the government.</w:t>
      </w:r>
      <w:r/>
    </w:p>
    <w:p>
      <w:r/>
      <w:r>
        <w:t>In response, a Department for Education spokesperson acknowledged the significant challenges inherited in the SEND system and asserted the government’s determination to implement lasting reforms. The spokesperson noted that the government is engaging with parents, teachers, and experts to ensure collaborative solutions and pointed out that an additional £1 billion has been invested in SEND budgets this year. Moreover, the government has allocated £740 million towards creating more specialist school places to better support children with SEND.</w:t>
      </w:r>
      <w:r/>
    </w:p>
    <w:p>
      <w:r/>
      <w:r>
        <w:t>Meanwhile, broader fiscal constraints are influencing government decisions. The Chancellor and Prime Minister have submitted major Budget measures for scrutiny by the Office for Budget Responsibility, overseeing an overall "spending envelope" that will govern public spending. Rachel Reeves has reaffirmed her commitment to meeting fiscal rules announced in October’s Budget, indicating strict financial discipline as the government faces competing funding demands.</w:t>
      </w:r>
      <w:r/>
    </w:p>
    <w:p>
      <w:r/>
      <w:r>
        <w:t>The SEND reform challenge thus sits within a wider context of tight fiscal management. With pressures to balance economic priorities against urgent social needs, the government’s willingness to dedicate "transformation funding" towards SEND reforms will be a crucial test of its commitment to children with disabilities and special educational needs.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(Mirror)</w:t>
      </w:r>
      <w:r/>
    </w:p>
    <w:p>
      <w:pPr>
        <w:pStyle w:val="ListBullet"/>
        <w:spacing w:line="240" w:lineRule="auto"/>
        <w:ind w:left="720"/>
      </w:pPr>
      <w:r/>
      <w:r>
        <w:t xml:space="preserve">Paragraph 2 – </w:t>
      </w:r>
      <w:hyperlink r:id="rId9">
        <w:r>
          <w:rPr>
            <w:color w:val="0000EE"/>
            <w:u w:val="single"/>
          </w:rPr>
          <w:t>[1]</w:t>
        </w:r>
      </w:hyperlink>
      <w:r>
        <w:t xml:space="preserve"> (Mirror)</w:t>
      </w:r>
      <w:r/>
    </w:p>
    <w:p>
      <w:pPr>
        <w:pStyle w:val="ListBullet"/>
        <w:spacing w:line="240" w:lineRule="auto"/>
        <w:ind w:left="720"/>
      </w:pPr>
      <w:r/>
      <w:r>
        <w:t xml:space="preserve">Paragraph 3 – </w:t>
      </w:r>
      <w:hyperlink r:id="rId9">
        <w:r>
          <w:rPr>
            <w:color w:val="0000EE"/>
            <w:u w:val="single"/>
          </w:rPr>
          <w:t>[1]</w:t>
        </w:r>
      </w:hyperlink>
      <w:r>
        <w:t xml:space="preserve"> (Mirror)</w:t>
      </w:r>
      <w:r/>
    </w:p>
    <w:p>
      <w:pPr>
        <w:pStyle w:val="ListBullet"/>
        <w:spacing w:line="240" w:lineRule="auto"/>
        <w:ind w:left="720"/>
      </w:pPr>
      <w:r/>
      <w:r>
        <w:t xml:space="preserve">Paragraph 4 – </w:t>
      </w:r>
      <w:hyperlink r:id="rId9">
        <w:r>
          <w:rPr>
            <w:color w:val="0000EE"/>
            <w:u w:val="single"/>
          </w:rPr>
          <w:t>[1]</w:t>
        </w:r>
      </w:hyperlink>
      <w:r>
        <w:t xml:space="preserve"> (Mirror)</w:t>
      </w:r>
      <w:r/>
    </w:p>
    <w:p>
      <w:pPr>
        <w:pStyle w:val="ListBullet"/>
        <w:spacing w:line="240" w:lineRule="auto"/>
        <w:ind w:left="720"/>
      </w:pPr>
      <w:r/>
      <w:r>
        <w:t xml:space="preserve">Paragraph 5 – </w:t>
      </w:r>
      <w:hyperlink r:id="rId9">
        <w:r>
          <w:rPr>
            <w:color w:val="0000EE"/>
            <w:u w:val="single"/>
          </w:rPr>
          <w:t>[1]</w:t>
        </w:r>
      </w:hyperlink>
      <w:r>
        <w:t xml:space="preserve"> (Mirror)</w:t>
      </w:r>
      <w:r/>
    </w:p>
    <w:p>
      <w:pPr>
        <w:pStyle w:val="ListBullet"/>
        <w:spacing w:line="240" w:lineRule="auto"/>
        <w:ind w:left="720"/>
      </w:pPr>
      <w:r/>
      <w:r>
        <w:t xml:space="preserve">Paragraph 6 – </w:t>
      </w:r>
      <w:hyperlink r:id="rId9">
        <w:r>
          <w:rPr>
            <w:color w:val="0000EE"/>
            <w:u w:val="single"/>
          </w:rPr>
          <w:t>[1]</w:t>
        </w:r>
      </w:hyperlink>
      <w:r>
        <w:t xml:space="preserve"> (Mirror)</w:t>
      </w:r>
      <w:r/>
    </w:p>
    <w:p>
      <w:pPr>
        <w:pStyle w:val="ListBullet"/>
        <w:spacing w:line="240" w:lineRule="auto"/>
        <w:ind w:left="720"/>
      </w:pPr>
      <w:r/>
      <w:r>
        <w:t xml:space="preserve">Paragraph 7 – </w:t>
      </w:r>
      <w:hyperlink r:id="rId9">
        <w:r>
          <w:rPr>
            <w:color w:val="0000EE"/>
            <w:u w:val="single"/>
          </w:rPr>
          <w:t>[1]</w:t>
        </w:r>
      </w:hyperlink>
      <w:r>
        <w:t xml:space="preserve"> (Mirror)</w:t>
      </w:r>
      <w:r/>
    </w:p>
    <w:p>
      <w:pPr>
        <w:pStyle w:val="ListBullet"/>
        <w:spacing w:line="240" w:lineRule="auto"/>
        <w:ind w:left="720"/>
      </w:pPr>
      <w:r/>
      <w:r>
        <w:t xml:space="preserve">Paragraph 8 – </w:t>
      </w:r>
      <w:hyperlink r:id="rId10">
        <w:r>
          <w:rPr>
            <w:color w:val="0000EE"/>
            <w:u w:val="single"/>
          </w:rPr>
          <w:t>[2]</w:t>
        </w:r>
      </w:hyperlink>
      <w:r>
        <w:t xml:space="preserve"> (Standard), </w:t>
      </w:r>
      <w:hyperlink r:id="rId11">
        <w:r>
          <w:rPr>
            <w:color w:val="0000EE"/>
            <w:u w:val="single"/>
          </w:rPr>
          <w:t>[3]</w:t>
        </w:r>
      </w:hyperlink>
      <w:r>
        <w:t xml:space="preserve"> (CNBC), </w:t>
      </w:r>
      <w:hyperlink r:id="rId9">
        <w:r>
          <w:rPr>
            <w:color w:val="0000EE"/>
            <w:u w:val="single"/>
          </w:rPr>
          <w:t>[1]</w:t>
        </w:r>
      </w:hyperlink>
      <w:r>
        <w:t xml:space="preserve"> (Mirror)</w:t>
      </w:r>
      <w:r/>
    </w:p>
    <w:p>
      <w:pPr>
        <w:pStyle w:val="ListBullet"/>
        <w:spacing w:line="240" w:lineRule="auto"/>
        <w:ind w:left="720"/>
      </w:pPr>
      <w:r/>
      <w:r>
        <w:t xml:space="preserve">Paragraph 9 – </w:t>
      </w:r>
      <w:hyperlink r:id="rId9">
        <w:r>
          <w:rPr>
            <w:color w:val="0000EE"/>
            <w:u w:val="single"/>
          </w:rPr>
          <w:t>[1]</w:t>
        </w:r>
      </w:hyperlink>
      <w:r>
        <w:t xml:space="preserve"> (Mirror), </w:t>
      </w:r>
      <w:hyperlink r:id="rId10">
        <w:r>
          <w:rPr>
            <w:color w:val="0000EE"/>
            <w:u w:val="single"/>
          </w:rPr>
          <w:t>[2]</w:t>
        </w:r>
      </w:hyperlink>
      <w:r>
        <w:t xml:space="preserve"> (Standard), </w:t>
      </w:r>
      <w:hyperlink r:id="rId11">
        <w:r>
          <w:rPr>
            <w:color w:val="0000EE"/>
            <w:u w:val="single"/>
          </w:rPr>
          <w:t>[3]</w:t>
        </w:r>
      </w:hyperlink>
      <w:r>
        <w:t xml:space="preserve"> (CNBC)</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https://www.mirror.co.uk/news/politics/rachel-reeves-given-budget-warning-36135654</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https://www.standard.co.uk/news/politics/prime-minister-budget-rachel-reeves-government-keir-starmer-b1188477.html</w:t>
        </w:r>
      </w:hyperlink>
      <w:r>
        <w:t xml:space="preserve"> - The Chancellor and Prime Minister have submitted the 'major measures' of the upcoming Budget for scrutiny by the Office for Budget Responsibility. The overall total Whitehall budgets – known collectively as the 'spending envelope' – have now been submitted to the Office for Budget Responsibility (OBR), No 10 said.</w:t>
      </w:r>
      <w:r/>
    </w:p>
    <w:p>
      <w:pPr>
        <w:pStyle w:val="ListNumber"/>
        <w:spacing w:line="240" w:lineRule="auto"/>
        <w:ind w:left="720"/>
      </w:pPr>
      <w:r/>
      <w:hyperlink r:id="rId11">
        <w:r>
          <w:rPr>
            <w:color w:val="0000EE"/>
            <w:u w:val="single"/>
          </w:rPr>
          <w:t>https://www.cnbc.com/2025/01/11/uks-reeves-says-she-will-take-action-to-meet-fiscal-rules.html</w:t>
        </w:r>
      </w:hyperlink>
      <w:r>
        <w:t xml:space="preserve"> - British finance minister Rachel Reeves said on Saturday that she would take action to ensure that the government meets its fiscal rules announced in October's budget. 'Those fiscal rules that I set out in the budget in October are non-negotiable and we will take actions to ensure that we meet those fiscal rules,' Reeves told reporters during a trip to Beijing.</w:t>
      </w:r>
      <w:r/>
    </w:p>
    <w:p>
      <w:pPr>
        <w:pStyle w:val="ListNumber"/>
        <w:spacing w:line="240" w:lineRule="auto"/>
        <w:ind w:left="720"/>
      </w:pPr>
      <w:r/>
      <w:hyperlink r:id="rId13">
        <w:r>
          <w:rPr>
            <w:color w:val="0000EE"/>
            <w:u w:val="single"/>
          </w:rPr>
          <w:t>https://en.wikipedia.org/wiki/Education_Select_Committee</w:t>
        </w:r>
      </w:hyperlink>
      <w:r>
        <w:t xml:space="preserve"> - The Education Select Committee is a committee of the House of Commons in the UK Parliament. It examines the policy, administration, and spending of the Department for Education. The committee's current membership includes Helen Hayes MP as Chair, who was elected on 11 September 2024.</w:t>
      </w:r>
      <w:r/>
    </w:p>
    <w:p>
      <w:pPr>
        <w:pStyle w:val="ListNumber"/>
        <w:spacing w:line="240" w:lineRule="auto"/>
        <w:ind w:left="720"/>
      </w:pPr>
      <w:r/>
      <w:hyperlink r:id="rId10">
        <w:r>
          <w:rPr>
            <w:color w:val="0000EE"/>
            <w:u w:val="single"/>
          </w:rPr>
          <w:t>https://www.standard.co.uk/news/politics/prime-minister-budget-rachel-reeves-government-keir-starmer-b1188477.html</w:t>
        </w:r>
      </w:hyperlink>
      <w:r>
        <w:t xml:space="preserve"> - The Chancellor and Prime Minister have submitted the 'major measures' of the upcoming Budget for scrutiny by the Office for Budget Responsibility. The overall total Whitehall budgets – known collectively as the 'spending envelope' – have now been submitted to the Office for Budget Responsibility (OBR), No 10 said.</w:t>
      </w:r>
      <w:r/>
    </w:p>
    <w:p>
      <w:pPr>
        <w:pStyle w:val="ListNumber"/>
        <w:spacing w:line="240" w:lineRule="auto"/>
        <w:ind w:left="720"/>
      </w:pPr>
      <w:r/>
      <w:hyperlink r:id="rId10">
        <w:r>
          <w:rPr>
            <w:color w:val="0000EE"/>
            <w:u w:val="single"/>
          </w:rPr>
          <w:t>https://www.standard.co.uk/news/politics/prime-minister-budget-rachel-reeves-government-keir-starmer-b1188477.html</w:t>
        </w:r>
      </w:hyperlink>
      <w:r>
        <w:t xml:space="preserve"> - The Chancellor and Prime Minister have submitted the 'major measures' of the upcoming Budget for scrutiny by the Office for Budget Responsibility. The overall total Whitehall budgets – known collectively as the 'spending envelope' – have now been submitted to the Office for Budget Responsibility (OBR), No 10 said.</w:t>
      </w:r>
      <w:r/>
    </w:p>
    <w:p>
      <w:pPr>
        <w:pStyle w:val="ListNumber"/>
        <w:spacing w:line="240" w:lineRule="auto"/>
        <w:ind w:left="720"/>
      </w:pPr>
      <w:r/>
      <w:hyperlink r:id="rId10">
        <w:r>
          <w:rPr>
            <w:color w:val="0000EE"/>
            <w:u w:val="single"/>
          </w:rPr>
          <w:t>https://www.standard.co.uk/news/politics/prime-minister-budget-rachel-reeves-government-keir-starmer-b1188477.html</w:t>
        </w:r>
      </w:hyperlink>
      <w:r>
        <w:t xml:space="preserve"> - The Chancellor and Prime Minister have submitted the 'major measures' of the upcoming Budget for scrutiny by the Office for Budget Responsibility. The overall total Whitehall budgets – known collectively as the 'spending envelope' – have now been submitted to the Office for Budget Responsibility (OBR), No 10 said.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politics/rachel-reeves-given-budget-warning-36135654" TargetMode="External"/><Relationship Id="rId10" Type="http://schemas.openxmlformats.org/officeDocument/2006/relationships/hyperlink" Target="https://www.standard.co.uk/news/politics/prime-minister-budget-rachel-reeves-government-keir-starmer-b1188477.html" TargetMode="External"/><Relationship Id="rId11" Type="http://schemas.openxmlformats.org/officeDocument/2006/relationships/hyperlink" Target="https://www.cnbc.com/2025/01/11/uks-reeves-says-she-will-take-action-to-meet-fiscal-rules.html" TargetMode="External"/><Relationship Id="rId12" Type="http://schemas.openxmlformats.org/officeDocument/2006/relationships/hyperlink" Target="https://www.noahwire.com" TargetMode="External"/><Relationship Id="rId13" Type="http://schemas.openxmlformats.org/officeDocument/2006/relationships/hyperlink" Target="https://en.wikipedia.org/wiki/Education_Select_Committ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