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Record funding boosts support as England's linguistic diversity transforms classrooms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Schools in England are allocating a record £540 million annually to assist pupils who do not speak English as their mother tongue, according to recently released figures from the Department for Education (DfE). This represents an increase of £125 million over five years, rising from £415 million in 2020. The funding is distributed by local authorities based on pupil numbers with English designated as an additional language, and while it is not ring-fenced, schools typically use it to cover the costs of specialist English language teachers, bilingual teaching assistants, translators, and resources in various foreign languages.</w:t>
      </w:r>
      <w:r/>
    </w:p>
    <w:p>
      <w:r/>
      <w:r>
        <w:t>The surge in expenditure mirrors a significant demographic shift in schools, where, in some areas, children speaking languages other than English now form the majority. For instance, in Newham, east London, two-thirds of pupils reportedly have a mother tongue other than English. Nationwide, one in five pupils—approximately 1.8 million—have English as an additional language, a sharp rise from 1.1 million a decade ago. This increase aligns with record levels of immigration to the UK in recent years and is reflecting broader societal changes in school populations.</w:t>
      </w:r>
      <w:r/>
    </w:p>
    <w:p>
      <w:r/>
      <w:r>
        <w:t>This growing linguistic diversity presents considerable educational challenges and has sparked debate about the impact on native English speakers. Critics argue that the additional resources devoted to teaching English as a second language could detract from support for English-first language pupils, particularly those from disadvantaged backgrounds. Professor Alan Smithers of Buckingham University emphasised this concern, stating that while there is a moral duty to educate legally resident immigrant children, the government must address illegal migration and better support English-born children, noting that 40 percent failed GCSE English last year.</w:t>
      </w:r>
      <w:r/>
    </w:p>
    <w:p>
      <w:r/>
      <w:r>
        <w:t>Some commentators suggest structural reforms, such as capping the proportion of non-English speakers in individual schools to 20 percent or providing separate institutions focused on English language acquisition before integrating pupils into mainstream classes. Chris McGovern, chairman of the Campaign for Real Education, contends that immigrant children generally perform well academically, whereas white working-class children lag behind. He argues for a rebalancing of focus and funding to support this "forgotten generation," cautioning against diverting resources from pupils who are "stuck at the bottom of attainment league tables."</w:t>
      </w:r>
      <w:r/>
    </w:p>
    <w:p>
      <w:r/>
      <w:r>
        <w:t>Research from reputable organisations sheds light on the evolving educational outcomes for pupils with English as an Additional Language (EAL). Data analysed by The Bell Foundation show that the proportion of EAL pupils in England has risen from 7.6 percent in 1997 to 20.5 percent in 2023, underscoring the increasing importance of proficient English language skills for long-term success. The Education Policy Institute (EPI), in its 2025 report, found that 21.3 percent of reception-age pupils have EAL, although the gap in attainment with their English-native peers is narrowing, currently standing at around 1.6 months. However, older pupils still face a wider attainment gap; the 2024 EPI report highlighted nearly a 10-month lag for pupils entering the final two years of primary school.</w:t>
      </w:r>
      <w:r/>
    </w:p>
    <w:p>
      <w:r/>
      <w:r>
        <w:t>Academic research from the University of Oxford supports the need for targeted and effective educational support for EAL pupils, who continue to grow in number and cultural diversity. Government statistics from the 2023/24 school year report that 37 percent of pupils come from minority ethnic backgrounds, reinforcing the case for tailored approaches in schools to accommodate linguistic and cultural diversity.</w:t>
      </w:r>
      <w:r/>
    </w:p>
    <w:p>
      <w:r/>
      <w:r>
        <w:t xml:space="preserve">The financial investment and policy response to this issue remain contentious. While funding allocations are not specifically ring-fenced, the Department for Education stresses that schools are best placed to decide how to allocate resources to meet their pupils' needs effectively. Yet, the challenge remains significant for schools balancing linguistic support alongside broader educational priorities, especially in areas with high concentrations of non-English-speaking pupils. </w:t>
      </w:r>
      <w:r/>
    </w:p>
    <w:p>
      <w:r/>
      <w:r>
        <w:t>With the linguistic landscape of English schools rapidly evolving, the debate continues over how best to support diverse student populations without disadvantaging native English speakers or other traditionally underserved groups. The issue encapsulates broader societal questions about immigration, integration, and educational equity that policymakers and educators must navigate in the years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w:t>
      </w:r>
      <w:r/>
    </w:p>
    <w:p>
      <w:pPr>
        <w:pStyle w:val="ListBullet"/>
        <w:spacing w:line="240" w:lineRule="auto"/>
        <w:ind w:left="720"/>
      </w:pPr>
      <w:r/>
      <w:r>
        <w:t xml:space="preserve">Paragraph 2 – </w:t>
      </w:r>
      <w:hyperlink r:id="rId9">
        <w:r>
          <w:rPr>
            <w:color w:val="0000EE"/>
            <w:u w:val="single"/>
          </w:rPr>
          <w:t>[1]</w:t>
        </w:r>
      </w:hyperlink>
      <w:r>
        <w:t xml:space="preserve"> (Daily Mail)</w:t>
      </w:r>
      <w:r/>
    </w:p>
    <w:p>
      <w:pPr>
        <w:pStyle w:val="ListBullet"/>
        <w:spacing w:line="240" w:lineRule="auto"/>
        <w:ind w:left="720"/>
      </w:pPr>
      <w:r/>
      <w:r>
        <w:t xml:space="preserve">Paragraph 3 – </w:t>
      </w:r>
      <w:hyperlink r:id="rId9">
        <w:r>
          <w:rPr>
            <w:color w:val="0000EE"/>
            <w:u w:val="single"/>
          </w:rPr>
          <w:t>[1]</w:t>
        </w:r>
      </w:hyperlink>
      <w:r>
        <w:t xml:space="preserve"> (Daily Mail)</w:t>
      </w:r>
      <w:r/>
    </w:p>
    <w:p>
      <w:pPr>
        <w:pStyle w:val="ListBullet"/>
        <w:spacing w:line="240" w:lineRule="auto"/>
        <w:ind w:left="720"/>
      </w:pPr>
      <w:r/>
      <w:r>
        <w:t xml:space="preserve">Paragraph 4 – </w:t>
      </w:r>
      <w:hyperlink r:id="rId9">
        <w:r>
          <w:rPr>
            <w:color w:val="0000EE"/>
            <w:u w:val="single"/>
          </w:rPr>
          <w:t>[1]</w:t>
        </w:r>
      </w:hyperlink>
      <w:r>
        <w:t xml:space="preserve"> (Daily Mail)</w:t>
      </w:r>
      <w:r/>
    </w:p>
    <w:p>
      <w:pPr>
        <w:pStyle w:val="ListBullet"/>
        <w:spacing w:line="240" w:lineRule="auto"/>
        <w:ind w:left="720"/>
      </w:pPr>
      <w:r/>
      <w:r>
        <w:t xml:space="preserve">Paragraph 5 – </w:t>
      </w:r>
      <w:hyperlink r:id="rId9">
        <w:r>
          <w:rPr>
            <w:color w:val="0000EE"/>
            <w:u w:val="single"/>
          </w:rPr>
          <w:t>[1]</w:t>
        </w:r>
      </w:hyperlink>
      <w:r>
        <w:t xml:space="preserve"> (Daily Mail)</w:t>
      </w:r>
      <w:r/>
    </w:p>
    <w:p>
      <w:pPr>
        <w:pStyle w:val="ListBullet"/>
        <w:spacing w:line="240" w:lineRule="auto"/>
        <w:ind w:left="720"/>
      </w:pPr>
      <w:r/>
      <w:r>
        <w:t xml:space="preserve">Paragraph 6 – </w:t>
      </w:r>
      <w:hyperlink r:id="rId9">
        <w:r>
          <w:rPr>
            <w:color w:val="0000EE"/>
            <w:u w:val="single"/>
          </w:rPr>
          <w:t>[1]</w:t>
        </w:r>
      </w:hyperlink>
      <w:r>
        <w:t xml:space="preserve"> (Daily Mail)</w:t>
      </w:r>
      <w:r/>
    </w:p>
    <w:p>
      <w:pPr>
        <w:pStyle w:val="ListBullet"/>
        <w:spacing w:line="240" w:lineRule="auto"/>
        <w:ind w:left="720"/>
      </w:pPr>
      <w:r/>
      <w:r>
        <w:t xml:space="preserve">Paragraph 7 – </w:t>
      </w:r>
      <w:hyperlink r:id="rId10">
        <w:r>
          <w:rPr>
            <w:color w:val="0000EE"/>
            <w:u w:val="single"/>
          </w:rPr>
          <w:t>[2]</w:t>
        </w:r>
      </w:hyperlink>
      <w:r>
        <w:t xml:space="preserve"> (Bell Foundation), </w:t>
      </w:r>
      <w:hyperlink r:id="rId11">
        <w:r>
          <w:rPr>
            <w:color w:val="0000EE"/>
            <w:u w:val="single"/>
          </w:rPr>
          <w:t>[3]</w:t>
        </w:r>
      </w:hyperlink>
      <w:r>
        <w:t xml:space="preserve"> (Education Policy Institute 2025), </w:t>
      </w:r>
      <w:hyperlink r:id="rId12">
        <w:r>
          <w:rPr>
            <w:color w:val="0000EE"/>
            <w:u w:val="single"/>
          </w:rPr>
          <w:t>[6]</w:t>
        </w:r>
      </w:hyperlink>
      <w:r>
        <w:t xml:space="preserve"> (Education Policy Institute 2024)</w:t>
      </w:r>
      <w:r/>
    </w:p>
    <w:p>
      <w:pPr>
        <w:pStyle w:val="ListBullet"/>
        <w:spacing w:line="240" w:lineRule="auto"/>
        <w:ind w:left="720"/>
      </w:pPr>
      <w:r/>
      <w:r>
        <w:t xml:space="preserve">Paragraph 8 – </w:t>
      </w:r>
      <w:hyperlink r:id="rId13">
        <w:r>
          <w:rPr>
            <w:color w:val="0000EE"/>
            <w:u w:val="single"/>
          </w:rPr>
          <w:t>[4]</w:t>
        </w:r>
      </w:hyperlink>
      <w:r>
        <w:t xml:space="preserve"> (University of Oxford), </w:t>
      </w:r>
      <w:hyperlink r:id="rId14">
        <w:r>
          <w:rPr>
            <w:color w:val="0000EE"/>
            <w:u w:val="single"/>
          </w:rPr>
          <w:t>[5]</w:t>
        </w:r>
      </w:hyperlink>
      <w:r>
        <w:t xml:space="preserve"> (UK Government statistics 2023/24)</w:t>
      </w:r>
      <w:r/>
    </w:p>
    <w:p>
      <w:pPr>
        <w:pStyle w:val="ListBullet"/>
        <w:spacing w:line="240" w:lineRule="auto"/>
        <w:ind w:left="720"/>
      </w:pPr>
      <w:r/>
      <w:r>
        <w:t xml:space="preserve">Paragraph 9 – </w:t>
      </w:r>
      <w:hyperlink r:id="rId9">
        <w:r>
          <w:rPr>
            <w:color w:val="0000EE"/>
            <w:u w:val="single"/>
          </w:rPr>
          <w:t>[1]</w:t>
        </w:r>
      </w:hyperlink>
      <w:r>
        <w:t xml:space="preserve"> (Daily Mail)</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https://www.dailymail.co.uk/news/article-15197767/Schools-spend-540MILLION-year-help-children-dont-speak-English-mother-tongue-figures-two-thirds-pupils-parts-country-language.html?ns_mchannel=rss&amp;ns_campaign=1490&amp;ito=1490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https://www.bell-foundation.org.uk/our-work/with-schools/research/eal-and-educational-achievement-in-england-an-analysis-of-publicly-available-data/</w:t>
        </w:r>
      </w:hyperlink>
      <w:r>
        <w:t xml:space="preserve"> - This report from The Bell Foundation analyses data from the National Pupil Database, revealing that the number of pupils in England speaking English as an Additional Language (EAL) has increased from 7.6% in 1997 to 20.5% in 2023. The study highlights the critical importance of promoting English proficiency to enhance academic outcomes and future attainment for these students.</w:t>
      </w:r>
      <w:r/>
    </w:p>
    <w:p>
      <w:pPr>
        <w:pStyle w:val="ListNumber"/>
        <w:spacing w:line="240" w:lineRule="auto"/>
        <w:ind w:left="720"/>
      </w:pPr>
      <w:r/>
      <w:hyperlink r:id="rId11">
        <w:r>
          <w:rPr>
            <w:color w:val="0000EE"/>
            <w:u w:val="single"/>
          </w:rPr>
          <w:t>https://epi.org.uk/annual-report-2025-eal/</w:t>
        </w:r>
      </w:hyperlink>
      <w:r>
        <w:t xml:space="preserve"> - The Education Policy Institute's 2025 report examines the educational achievement of pupils with English as an Additional Language (EAL). It finds that in 2024, 21.3% of reception pupils were recorded as having EAL, with a gap of 1.6 months behind their peers with English as a first language. The report also notes a narrowing of this gap over recent years.</w:t>
      </w:r>
      <w:r/>
    </w:p>
    <w:p>
      <w:pPr>
        <w:pStyle w:val="ListNumber"/>
        <w:spacing w:line="240" w:lineRule="auto"/>
        <w:ind w:left="720"/>
      </w:pPr>
      <w:r/>
      <w:hyperlink r:id="rId13">
        <w:r>
          <w:rPr>
            <w:color w:val="0000EE"/>
            <w:u w:val="single"/>
          </w:rPr>
          <w:t>https://www.education.ox.ac.uk/project/english-as-an-additional-language-eal-and-educational-achievement-in-england-updating-the-evidence-2/</w:t>
        </w:r>
      </w:hyperlink>
      <w:r>
        <w:t xml:space="preserve"> - This project by the Department of Education at the University of Oxford updates evidence on the relationship between English as an Additional Language (EAL) and educational achievement in England. It analyses data from the National Pupil Database, highlighting the increasing number of EAL pupils and the need for effective support to enhance their educational outcomes.</w:t>
      </w:r>
      <w:r/>
    </w:p>
    <w:p>
      <w:pPr>
        <w:pStyle w:val="ListNumber"/>
        <w:spacing w:line="240" w:lineRule="auto"/>
        <w:ind w:left="720"/>
      </w:pPr>
      <w:r/>
      <w:hyperlink r:id="rId14">
        <w:r>
          <w:rPr>
            <w:color w:val="0000EE"/>
            <w:u w:val="single"/>
          </w:rPr>
          <w:t>https://explore-education-statistics.service.gov.uk/find-statistics/school-pupils-and-their-characteristics/2023-24</w:t>
        </w:r>
      </w:hyperlink>
      <w:r>
        <w:t xml:space="preserve"> - The UK government's 2023/24 statistics reveal that 37.0% of pupils are from a minority ethnic background, with 20.8% recorded as having a first language other than English. This reflects the growing diversity in UK schools and underscores the importance of tailored educational support for these students.</w:t>
      </w:r>
      <w:r/>
    </w:p>
    <w:p>
      <w:pPr>
        <w:pStyle w:val="ListNumber"/>
        <w:spacing w:line="240" w:lineRule="auto"/>
        <w:ind w:left="720"/>
      </w:pPr>
      <w:r/>
      <w:hyperlink r:id="rId12">
        <w:r>
          <w:rPr>
            <w:color w:val="0000EE"/>
            <w:u w:val="single"/>
          </w:rPr>
          <w:t>https://epi.org.uk/annual-report-2024-eal-2/</w:t>
        </w:r>
      </w:hyperlink>
      <w:r>
        <w:t xml:space="preserve"> - The Education Policy Institute's 2024 report provides insights into the educational attainment of pupils with English as an Additional Language (EAL). It notes that in 2023, around 15,000 pupils entered the final two years of primary school with EAL, with a gap of almost 10 months behind their peers with English as a first language.</w:t>
      </w:r>
      <w:r/>
    </w:p>
    <w:p>
      <w:pPr>
        <w:pStyle w:val="ListNumber"/>
        <w:spacing w:line="240" w:lineRule="auto"/>
        <w:ind w:left="720"/>
      </w:pPr>
      <w:r/>
      <w:hyperlink r:id="rId16">
        <w:r>
          <w:rPr>
            <w:color w:val="0000EE"/>
            <w:u w:val="single"/>
          </w:rPr>
          <w:t>https://www.britishcouncil.org/about/press/language-gcse-take-significantly-lower-less-affluent-state-schools-across-england-%E2%80%93</w:t>
        </w:r>
      </w:hyperlink>
      <w:r>
        <w:t xml:space="preserve"> - A British Council report highlights that fewer than half of GCSE students in state schools across England study a modern foreign language, with participation significantly higher in the most affluent areas. The report also notes that nearly a third of the most disadvantaged schools have pupils who speak English as an additional language.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97767/Schools-spend-540MILLION-year-help-children-dont-speak-English-mother-tongue-figures-two-thirds-pupils-parts-country-language.html?ns_mchannel=rss&amp;ns_campaign=1490&amp;ito=1490" TargetMode="External"/><Relationship Id="rId10" Type="http://schemas.openxmlformats.org/officeDocument/2006/relationships/hyperlink" Target="https://www.bell-foundation.org.uk/our-work/with-schools/research/eal-and-educational-achievement-in-england-an-analysis-of-publicly-available-data/" TargetMode="External"/><Relationship Id="rId11" Type="http://schemas.openxmlformats.org/officeDocument/2006/relationships/hyperlink" Target="https://epi.org.uk/annual-report-2025-eal/" TargetMode="External"/><Relationship Id="rId12" Type="http://schemas.openxmlformats.org/officeDocument/2006/relationships/hyperlink" Target="https://epi.org.uk/annual-report-2024-eal-2/" TargetMode="External"/><Relationship Id="rId13" Type="http://schemas.openxmlformats.org/officeDocument/2006/relationships/hyperlink" Target="https://www.education.ox.ac.uk/project/english-as-an-additional-language-eal-and-educational-achievement-in-england-updating-the-evidence-2/" TargetMode="External"/><Relationship Id="rId14" Type="http://schemas.openxmlformats.org/officeDocument/2006/relationships/hyperlink" Target="https://explore-education-statistics.service.gov.uk/find-statistics/school-pupils-and-their-characteristics/2023-24" TargetMode="External"/><Relationship Id="rId15" Type="http://schemas.openxmlformats.org/officeDocument/2006/relationships/hyperlink" Target="https://www.noahwire.com" TargetMode="External"/><Relationship Id="rId16" Type="http://schemas.openxmlformats.org/officeDocument/2006/relationships/hyperlink" Target="https://www.britishcouncil.org/about/press/language-gcse-take-significantly-lower-less-affluent-state-schools-across-england-%E2%80%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