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school admissions reforms aim to tackle inequality but face practical and ethical dilemmas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study from the University of Bristol has highlighted significant disparities in access to top secondary schools between pupils from affluent backgrounds and those from less privileged families. The research found that children from wealthier households are over 40% more likely to secure places at leading secondary schools. This inequality is largely attributed to the widespread use of geographical criteria in school admissions, with 88% of secondary schools relying on factors such as catchment areas and proximity to the school. These practices tend to disadvantage pupils from poorer neighbourhoods, restricting their opportunities to attend high-performing institutions.</w:t>
      </w:r>
      <w:r/>
    </w:p>
    <w:p>
      <w:r/>
      <w:r>
        <w:t>The study suggests that prioritising a fixed proportion of places for pupils eligible for free school meals could mitigate these disparities. Such a move aims to reduce educational inequality without causing significant disruption to existing school allocation arrangements. However, implementing changes to admissions criteria is complex, as ensuring a representative balance in admissions may lead to lengthier journeys for some pupils, raising logistical and welfare concerns.</w:t>
      </w:r>
      <w:r/>
    </w:p>
    <w:p>
      <w:r/>
      <w:r>
        <w:t>The issue of travel distances is compounded for children with special educational needs and disabilities (SEND), who often face even longer journeys due to a shortage of suitable local provision. Councils report increasing difficulties in securing appropriate placements, with the Local Government Association projecting that expenditure on SEND transport will rise from £1.73 billion in 2023/24 to approximately £1.97 billion by 2025/26. SEND pupils currently average nine-mile one-way trips to school, illustrating the significant burden placed on families and local authorities alike.</w:t>
      </w:r>
      <w:r/>
    </w:p>
    <w:p>
      <w:r/>
      <w:r>
        <w:t>In response to concerns about fairness and simplicity in admissions, the UK government has recently revised its school admissions codes. The updated guidelines grant greater autonomy to successful schools, allowing them to expand the number of available places and to prioritise children of staff employed for at least two years or recruited for specific skill shortages. Importantly, academies and free schools are now permitted to prioritise pupils from the poorest backgrounds as part of efforts to address educational inequalities.</w:t>
      </w:r>
      <w:r/>
    </w:p>
    <w:p>
      <w:r/>
      <w:r>
        <w:t>Nevertheless, the heavy emphasis on catchment areas remains contentious. Critics argue that this focus prioritises geographical location over academic merit, potentially denying high-achieving students the chance to attend schools that best match their abilities and aspirations. This approach raises broader questions about equity in education, suggesting that a child's home address can have an outsized influence on their educational opportunities.</w:t>
      </w:r>
      <w:r/>
    </w:p>
    <w:p>
      <w:r/>
      <w:r>
        <w:t>Altogether, these findings underscore the tension between fairness, practical logistics, and academic meritocracy in school admissions policies. While there is broad recognition of the need to reduce inequality in access to quality education, solutions must carefully consider the implications for travel times, local provision for vulnerable groups, and the balance between geographic and socioeconomic factors in admissions decisions.</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2, Paragraph 6 </w:t>
      </w:r>
      <w:r/>
    </w:p>
    <w:p>
      <w:pPr>
        <w:pStyle w:val="ListBullet"/>
        <w:spacing w:line="240" w:lineRule="auto"/>
        <w:ind w:left="720"/>
      </w:pPr>
      <w:r/>
      <w:hyperlink r:id="rId9">
        <w:r>
          <w:rPr>
            <w:color w:val="0000EE"/>
            <w:u w:val="single"/>
          </w:rPr>
          <w:t>[2]</w:t>
        </w:r>
      </w:hyperlink>
      <w:r>
        <w:t xml:space="preserve"> (Evening Standard) - Paragraph 1, Paragraph 2, Paragraph 6 </w:t>
      </w:r>
      <w:r/>
    </w:p>
    <w:p>
      <w:pPr>
        <w:pStyle w:val="ListBullet"/>
        <w:spacing w:line="240" w:lineRule="auto"/>
        <w:ind w:left="720"/>
      </w:pPr>
      <w:r/>
      <w:hyperlink r:id="rId10">
        <w:r>
          <w:rPr>
            <w:color w:val="0000EE"/>
            <w:u w:val="single"/>
          </w:rPr>
          <w:t>[3]</w:t>
        </w:r>
      </w:hyperlink>
      <w:r>
        <w:t xml:space="preserve"> (Evening Standard) - Paragraph 3, Paragraph 7 </w:t>
      </w:r>
      <w:r/>
    </w:p>
    <w:p>
      <w:pPr>
        <w:pStyle w:val="ListBullet"/>
        <w:spacing w:line="240" w:lineRule="auto"/>
        <w:ind w:left="720"/>
      </w:pPr>
      <w:r/>
      <w:hyperlink r:id="rId11">
        <w:r>
          <w:rPr>
            <w:color w:val="0000EE"/>
            <w:u w:val="single"/>
          </w:rPr>
          <w:t>[4]</w:t>
        </w:r>
      </w:hyperlink>
      <w:r>
        <w:t xml:space="preserve"> (UK Government) - Paragraph 4 </w:t>
      </w:r>
      <w:r/>
    </w:p>
    <w:p>
      <w:pPr>
        <w:pStyle w:val="ListBullet"/>
        <w:spacing w:line="240" w:lineRule="auto"/>
        <w:ind w:left="720"/>
      </w:pPr>
      <w:r/>
      <w:hyperlink r:id="rId12">
        <w:r>
          <w:rPr>
            <w:color w:val="0000EE"/>
            <w:u w:val="single"/>
          </w:rPr>
          <w:t>[5]</w:t>
        </w:r>
      </w:hyperlink>
      <w:r>
        <w:t xml:space="preserve"> (QAHE article) - Paragraph 5</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https://www.standard.co.uk/news/politics/schools-university-of-bristol-government-wellbeing-england-b1256765.html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https://www.standard.co.uk/news/politics/schools-university-of-bristol-government-wellbeing-england-b1256765.html</w:t>
        </w:r>
      </w:hyperlink>
      <w:r>
        <w:t xml:space="preserve"> - A study by the University of Bristol reveals that pupils from affluent backgrounds are over 40% more likely to secure places at top secondary schools compared to their peers from less affluent backgrounds. The research indicates that 88% of secondary schools utilise geographical criteria, such as catchment areas and proximity to the school, in their admissions processes. This practice disproportionately disadvantages pupils from poorer neighbourhoods, effectively limiting their access to high-performing schools. The study suggests that prioritising a set proportion of places for pupils eligible for free school meals could help reduce this inequality without causing widespread disruption to school allocations.</w:t>
      </w:r>
      <w:r/>
    </w:p>
    <w:p>
      <w:pPr>
        <w:pStyle w:val="ListNumber"/>
        <w:spacing w:line="240" w:lineRule="auto"/>
        <w:ind w:left="720"/>
      </w:pPr>
      <w:r/>
      <w:hyperlink r:id="rId10">
        <w:r>
          <w:rPr>
            <w:color w:val="0000EE"/>
            <w:u w:val="single"/>
          </w:rPr>
          <w:t>https://www.standard.co.uk/news/politics/children-government-local-government-association-councils-department-for-education-b1235921.html</w:t>
        </w:r>
      </w:hyperlink>
      <w:r>
        <w:t xml:space="preserve"> - Councils have reported that children with special educational needs and disabilities (SEND) are having to travel longer distances to find suitable school placements due to a lack of local provision. A Local Government Association (LGA) report predicts that spending on transporting SEND children to schools will reach approximately £1.97 billion in 2025/26, up from £1.73 billion in 2023/24. The average one-way trip for SEND pupils is nine miles, highlighting the significant impact of limited local special school availability on travel times and associated costs.</w:t>
      </w:r>
      <w:r/>
    </w:p>
    <w:p>
      <w:pPr>
        <w:pStyle w:val="ListNumber"/>
        <w:spacing w:line="240" w:lineRule="auto"/>
        <w:ind w:left="720"/>
      </w:pPr>
      <w:r/>
      <w:hyperlink r:id="rId11">
        <w:r>
          <w:rPr>
            <w:color w:val="0000EE"/>
            <w:u w:val="single"/>
          </w:rPr>
          <w:t>https://www.gov.uk/government/news/parents-back-fairer-and-simpler-school-admissions-codes</w:t>
        </w:r>
      </w:hyperlink>
      <w:r>
        <w:t xml:space="preserve"> - The UK government has revised school admissions codes to promote fairness and simplicity. The updated codes grant greater autonomy to successful schools, allowing them to increase the number of places they offer to children in their area. They also permit schools to give priority to children of staff employed for at least two years or recruited to meet specific skills shortages. Additionally, the codes allow academies and free schools to prioritise pupils from the poorest backgrounds, aiming to address educational inequalities.</w:t>
      </w:r>
      <w:r/>
    </w:p>
    <w:p>
      <w:pPr>
        <w:pStyle w:val="ListNumber"/>
        <w:spacing w:line="240" w:lineRule="auto"/>
        <w:ind w:left="720"/>
      </w:pPr>
      <w:r/>
      <w:hyperlink r:id="rId12">
        <w:r>
          <w:rPr>
            <w:color w:val="0000EE"/>
            <w:u w:val="single"/>
          </w:rPr>
          <w:t>https://www.qahe.org/article/is-catchment-always-the-priority-the-implications-for-school-admissions/</w:t>
        </w:r>
      </w:hyperlink>
      <w:r>
        <w:t xml:space="preserve"> - The emphasis on catchment areas in school admissions can disadvantage high-achieving students who reside outside these boundaries. This practice may prevent academically gifted children from attending schools that align with their abilities, leading to missed opportunities for advanced courses or specialised programs. The focus on geographical location over academic performance raises concerns about equity and access to quality education, as students' educational prospects are determined more by their home address than their abilities or aspirations.</w:t>
      </w:r>
      <w:r/>
    </w:p>
    <w:p>
      <w:pPr>
        <w:pStyle w:val="ListNumber"/>
        <w:spacing w:line="240" w:lineRule="auto"/>
        <w:ind w:left="720"/>
      </w:pPr>
      <w:r/>
      <w:hyperlink r:id="rId9">
        <w:r>
          <w:rPr>
            <w:color w:val="0000EE"/>
            <w:u w:val="single"/>
          </w:rPr>
          <w:t>https://www.standard.co.uk/news/politics/schools-university-of-bristol-government-wellbeing-england-b1256765.html</w:t>
        </w:r>
      </w:hyperlink>
      <w:r>
        <w:t xml:space="preserve"> - A study by the University of Bristol reveals that pupils from affluent backgrounds are over 40% more likely to secure places at top secondary schools compared to their peers from less affluent backgrounds. The research indicates that 88% of secondary schools utilise geographical criteria, such as catchment areas and proximity to the school, in their admissions processes. This practice disproportionately disadvantages pupils from poorer neighbourhoods, effectively limiting their access to high-performing schools. The study suggests that prioritising a set proportion of places for pupils eligible for free school meals could help reduce this inequality without causing widespread disruption to school allocations.</w:t>
      </w:r>
      <w:r/>
    </w:p>
    <w:p>
      <w:pPr>
        <w:pStyle w:val="ListNumber"/>
        <w:spacing w:line="240" w:lineRule="auto"/>
        <w:ind w:left="720"/>
      </w:pPr>
      <w:r/>
      <w:hyperlink r:id="rId10">
        <w:r>
          <w:rPr>
            <w:color w:val="0000EE"/>
            <w:u w:val="single"/>
          </w:rPr>
          <w:t>https://www.standard.co.uk/news/politics/children-government-local-government-association-councils-department-for-education-b1235921.html</w:t>
        </w:r>
      </w:hyperlink>
      <w:r>
        <w:t xml:space="preserve"> - Councils have reported that children with special educational needs and disabilities (SEND) are having to travel longer distances to find suitable school placements due to a lack of local provision. A Local Government Association (LGA) report predicts that spending on transporting SEND children to schools will reach approximately £1.97 billion in 2025/26, up from £1.73 billion in 2023/24. The average one-way trip for SEND pupils is nine miles, highlighting the significant impact of limited local special school availability on travel times and associated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schools-university-of-bristol-government-wellbeing-england-b1256765.html" TargetMode="External"/><Relationship Id="rId10" Type="http://schemas.openxmlformats.org/officeDocument/2006/relationships/hyperlink" Target="https://www.standard.co.uk/news/politics/children-government-local-government-association-councils-department-for-education-b1235921.html" TargetMode="External"/><Relationship Id="rId11" Type="http://schemas.openxmlformats.org/officeDocument/2006/relationships/hyperlink" Target="https://www.gov.uk/government/news/parents-back-fairer-and-simpler-school-admissions-codes" TargetMode="External"/><Relationship Id="rId12" Type="http://schemas.openxmlformats.org/officeDocument/2006/relationships/hyperlink" Target="https://www.qahe.org/article/is-catchment-always-the-priority-the-implications-for-school-admission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