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Government's education ambitions face hurdles amid funding gaps and rising inequalities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Government faces significant challenges in meeting its education ambitions given current spending plans, which a recent report from the Institute for Government (IfG) warns may fall short in addressing persistent gaps in educational outcomes and the escalating crisis in special educational needs and disabilities (Send). Despite Labour’s stated goal to break the link between a child’s background and their future success, the IfG report suggests that without more coordinated reform of the Send system and better management of declining pupil numbers, these objectives could prove elusive.</w:t>
      </w:r>
      <w:r/>
    </w:p>
    <w:p>
      <w:r/>
      <w:r>
        <w:t>The report highlights a persistent problem: although pupil numbers in primary schools have been falling across England for several years, particularly in London, which has seen an 8.1% drop since 2018/19, funding structures have yet to adjust to this change. Schools still often maintain the same buildings and staff levels despite smaller student bodies, resulting in a considerable number of empty classrooms. Current figures suggest the equivalent of 23,000 primary classrooms remain unoccupied, the highest level since records began in 2009/10. This inefficiency strains the education budget, further complicating efforts to fund other priorities.</w:t>
      </w:r>
      <w:r/>
    </w:p>
    <w:p>
      <w:r/>
      <w:r>
        <w:t>Compounding this, funding pressures are growing in areas of Send provision. Education, Health and Care Plans (EHCPs) have more than doubled in the past nine years, pushing up overall spending on special educational needs. Although high needs spending is projected to reach £12.9 billion by 2028/29, nearly double the amount in 2012/13, the report observes that this funding translates into “less money per pupil in need” as costs rise. The Government has postponed its Send reform plans until 2026, intending to allow more time for consultation and testing proposals. Yet the lack of a clear strategy continues to concern experts and educators alike.</w:t>
      </w:r>
      <w:r/>
    </w:p>
    <w:p>
      <w:r/>
      <w:r>
        <w:t>Mark Franks, director of welfare and economist at the Nuffield Foundation, emphasised that falling pupil numbers combined with financial pressures and staffing shortages present serious risks to government ambitions for equity in education. He warned that with limited fiscal flexibility, ministers face difficult decisions in balancing these competing priorities to close outcome gaps for disadvantaged children.</w:t>
      </w:r>
      <w:r/>
    </w:p>
    <w:p>
      <w:r/>
      <w:r>
        <w:t>Teacher shortages add another layer of complexity. While the Department for Education (DfE) announced record numbers of teachers with nearly 48,000 full-time equivalents joining English schools in the 2022-23 academic year, the 2024 workforce data indicates a slight overall decrease in teachers by 0.08%, driven primarily by a drop in primary school staff. The pupil-to-teacher ratio in primary schools remains stable at 20.8 pupils per teacher, but workforce pressures persist. The Government’s pledge to recruit an additional 6,500 teachers by the end of Parliament aims to alleviate these shortages, although the National Audit Office has expressed scepticism about whether this target will fully address current and expected gaps.</w:t>
      </w:r>
      <w:r/>
    </w:p>
    <w:p>
      <w:r/>
      <w:r>
        <w:t>School leaders share these concerns. Paul Whiteman, general secretary of the NAHT union, stated that while ambitions are commendable, they must be matched with adequate funding for new initiatives to succeed. Increasing demands without sufficient resources risk undermining efforts to improve outcomes and support schools effectively.</w:t>
      </w:r>
      <w:r/>
    </w:p>
    <w:p>
      <w:r/>
      <w:r>
        <w:t>On the funding front, local authorities have planned a net expenditure of £63.4 billion for the 2024-25 financial year on schools, marking a 9.7% increase compared to the previous year. This funding envelope includes £51.3 billion for individual school budgets and £2.1 billion dedicated to high needs place funding. Additionally, the Government is investing £850 million as part of a broader £2.6 billion commitment between 2022 and 2025 to create 60,000 new SEND places and upgrade existing facilities, addressing support for children with autism, learning difficulties, and mobility challenges.</w:t>
      </w:r>
      <w:r/>
    </w:p>
    <w:p>
      <w:r/>
      <w:r>
        <w:t>Despite these investments, outcomes are mixed. The attainment gap at GCSE between London and England overall has widened since the pandemic, and Ofsted’s 2023/24 annual report highlights troubling attendance patterns, with persistent absence rates rising above 19% among all pupils and exceeding 40% among disadvantaged children in need. These trends underscore the multifaceted nature of the challenges facing the education system, extending beyond funding to issues of engagement and equity.</w:t>
      </w:r>
      <w:r/>
    </w:p>
    <w:p>
      <w:r/>
      <w:r>
        <w:t>The Department for Education maintains that it has protected key education priorities with record-level funding, pledging an increase of £4.2 billion by 2028/29 and signalling a commitment to a comprehensive overhaul of the Send system developed through consultation with parents, teachers, and experts. However, as the IfG report underscores, bridging the gap between ambition and delivery will require clearer strategies, more efficient use of resources, and sustained effort to tackle workforce shortages and widening inequalities if the Government’s education goals are to be realised.</w:t>
      </w:r>
      <w:r/>
    </w:p>
    <w:p>
      <w:pPr>
        <w:pStyle w:val="Heading3"/>
      </w:pPr>
      <w:r>
        <w:t>📌 Reference Map:</w:t>
      </w:r>
      <w:r/>
      <w:r/>
    </w:p>
    <w:p>
      <w:pPr>
        <w:pStyle w:val="ListBullet"/>
        <w:spacing w:line="240" w:lineRule="auto"/>
        <w:ind w:left="720"/>
      </w:pPr>
      <w:r/>
      <w:hyperlink r:id="rId9">
        <w:r>
          <w:rPr>
            <w:color w:val="0000EE"/>
            <w:u w:val="single"/>
          </w:rPr>
          <w:t>[1]</w:t>
        </w:r>
      </w:hyperlink>
      <w:r>
        <w:t xml:space="preserve"> (Irish News) - Paragraphs 1, 2, 3, 4, 5, 7, 8, 9, 10, 11</w:t>
      </w:r>
      <w:r/>
    </w:p>
    <w:p>
      <w:pPr>
        <w:pStyle w:val="ListBullet"/>
        <w:spacing w:line="240" w:lineRule="auto"/>
        <w:ind w:left="720"/>
      </w:pPr>
      <w:r/>
      <w:hyperlink r:id="rId10">
        <w:r>
          <w:rPr>
            <w:color w:val="0000EE"/>
            <w:u w:val="single"/>
          </w:rPr>
          <w:t>[2]</w:t>
        </w:r>
      </w:hyperlink>
      <w:r>
        <w:t xml:space="preserve"> (Gov.uk - Teacher Workforce) - Paragraphs 6, 7</w:t>
      </w:r>
      <w:r/>
    </w:p>
    <w:p>
      <w:pPr>
        <w:pStyle w:val="ListBullet"/>
        <w:spacing w:line="240" w:lineRule="auto"/>
        <w:ind w:left="720"/>
      </w:pPr>
      <w:r/>
      <w:hyperlink r:id="rId11">
        <w:r>
          <w:rPr>
            <w:color w:val="0000EE"/>
            <w:u w:val="single"/>
          </w:rPr>
          <w:t>[3]</w:t>
        </w:r>
      </w:hyperlink>
      <w:r>
        <w:t xml:space="preserve"> (Gov.uk - SEND Places) - Paragraph 10</w:t>
      </w:r>
      <w:r/>
    </w:p>
    <w:p>
      <w:pPr>
        <w:pStyle w:val="ListBullet"/>
        <w:spacing w:line="240" w:lineRule="auto"/>
        <w:ind w:left="720"/>
      </w:pPr>
      <w:r/>
      <w:hyperlink r:id="rId12">
        <w:r>
          <w:rPr>
            <w:color w:val="0000EE"/>
            <w:u w:val="single"/>
          </w:rPr>
          <w:t>[4]</w:t>
        </w:r>
      </w:hyperlink>
      <w:r>
        <w:t xml:space="preserve"> (Gov.uk - Education Statistics) - Paragraph 6</w:t>
      </w:r>
      <w:r/>
    </w:p>
    <w:p>
      <w:pPr>
        <w:pStyle w:val="ListBullet"/>
        <w:spacing w:line="240" w:lineRule="auto"/>
        <w:ind w:left="720"/>
      </w:pPr>
      <w:r/>
      <w:hyperlink r:id="rId13">
        <w:r>
          <w:rPr>
            <w:color w:val="0000EE"/>
            <w:u w:val="single"/>
          </w:rPr>
          <w:t>[5]</w:t>
        </w:r>
      </w:hyperlink>
      <w:r>
        <w:t xml:space="preserve"> (Gov.uk - School Expenditure) - Paragraph 9</w:t>
      </w:r>
      <w:r/>
    </w:p>
    <w:p>
      <w:pPr>
        <w:pStyle w:val="ListBullet"/>
        <w:spacing w:line="240" w:lineRule="auto"/>
        <w:ind w:left="720"/>
      </w:pPr>
      <w:r/>
      <w:hyperlink r:id="rId14">
        <w:r>
          <w:rPr>
            <w:color w:val="0000EE"/>
            <w:u w:val="single"/>
          </w:rPr>
          <w:t>[6]</w:t>
        </w:r>
      </w:hyperlink>
      <w:r>
        <w:t xml:space="preserve"> (Gov.uk - School Workforce Ratio) - Paragraph 6</w:t>
      </w:r>
      <w:r/>
    </w:p>
    <w:p>
      <w:pPr>
        <w:pStyle w:val="ListBullet"/>
        <w:spacing w:line="240" w:lineRule="auto"/>
        <w:ind w:left="720"/>
      </w:pPr>
      <w:r/>
      <w:hyperlink r:id="rId15">
        <w:r>
          <w:rPr>
            <w:color w:val="0000EE"/>
            <w:u w:val="single"/>
          </w:rPr>
          <w:t>[7]</w:t>
        </w:r>
      </w:hyperlink>
      <w:r>
        <w:t xml:space="preserve"> (Ofsted Annual Report) - Paragraph 11</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https://www.irishnews.com/news/uk/education-spending-plans-will-struggle-to-narrow-gaps-in-outcomes-report-RE4LL34QTVIZDMGKNNKVJ7S3DQ/</w:t>
        </w:r>
      </w:hyperlink>
      <w:r>
        <w:t xml:space="preserve"> - Please view link - unable to able to access data</w:t>
      </w:r>
      <w:r/>
    </w:p>
    <w:p>
      <w:pPr>
        <w:pStyle w:val="ListNumber"/>
        <w:spacing w:line="240" w:lineRule="auto"/>
        <w:ind w:left="720"/>
      </w:pPr>
      <w:r/>
      <w:hyperlink r:id="rId10">
        <w:r>
          <w:rPr>
            <w:color w:val="0000EE"/>
            <w:u w:val="single"/>
          </w:rPr>
          <w:t>https://www.gov.uk/government/news/record-number-of-teachers-in-englands-schools</w:t>
        </w:r>
      </w:hyperlink>
      <w:r>
        <w:t xml:space="preserve"> - In the 2022 to 2023 academic year, nearly 48,000 full-time equivalent teachers joined English schools, resulting in a total of 468,371 teachers in the workforce. This marks an increase of 2,800 teachers compared to the previous year, reflecting the government's ongoing efforts to attract top talent to the teaching profession. The Department for Education has implemented various measures to boost recruitment and retention, aiming to ensure that schools are staffed with high-quality educators to support student success.</w:t>
      </w:r>
      <w:r/>
    </w:p>
    <w:p>
      <w:pPr>
        <w:pStyle w:val="ListNumber"/>
        <w:spacing w:line="240" w:lineRule="auto"/>
        <w:ind w:left="720"/>
      </w:pPr>
      <w:r/>
      <w:hyperlink r:id="rId11">
        <w:r>
          <w:rPr>
            <w:color w:val="0000EE"/>
            <w:u w:val="single"/>
          </w:rPr>
          <w:t>https://www.gov.uk/government/news/government-delivering-on-60000-more-special-needs-places</w:t>
        </w:r>
      </w:hyperlink>
      <w:r>
        <w:t xml:space="preserve"> - The UK government is investing a record £850 million to create 60,000 new special educational needs and disabilities (SEND) places in schools and improve existing facilities. This funding is part of a £2.6 billion investment between 2022 and 2025, aiming to provide specialist support for children with autism, learning difficulties, and mobility challenges. The initiative seeks to ensure that every child receives an education tailored to their needs, addressing the growing demand for SEND provisions across the country.</w:t>
      </w:r>
      <w:r/>
    </w:p>
    <w:p>
      <w:pPr>
        <w:pStyle w:val="ListNumber"/>
        <w:spacing w:line="240" w:lineRule="auto"/>
        <w:ind w:left="720"/>
      </w:pPr>
      <w:r/>
      <w:hyperlink r:id="rId12">
        <w:r>
          <w:rPr>
            <w:color w:val="0000EE"/>
            <w:u w:val="single"/>
          </w:rPr>
          <w:t>https://explore-education-statistics.service.gov.uk/find-statistics/education-and-training-statistics-for-the-uk</w:t>
        </w:r>
      </w:hyperlink>
      <w:r>
        <w:t xml:space="preserve"> - The UK's education and training statistics for 2024 report a slight decrease of 0.08% in the number of full-time equivalent teachers in maintained schools, totaling 566,916. This decline is primarily driven by a reduction of 3,693 teachers in primary schools. The data also highlights that the teaching workforce remains predominantly female, with 74% of teachers being women. Additionally, the pupil-to-teacher ratio in primary schools is 20.8 pupils per teacher, indicating a stable teaching environment.</w:t>
      </w:r>
      <w:r/>
    </w:p>
    <w:p>
      <w:pPr>
        <w:pStyle w:val="ListNumber"/>
        <w:spacing w:line="240" w:lineRule="auto"/>
        <w:ind w:left="720"/>
      </w:pPr>
      <w:r/>
      <w:hyperlink r:id="rId13">
        <w:r>
          <w:rPr>
            <w:color w:val="0000EE"/>
            <w:u w:val="single"/>
          </w:rPr>
          <w:t>https://explore-education-statistics.service.gov.uk/find-statistics/planned-la-and-school-expenditure</w:t>
        </w:r>
      </w:hyperlink>
      <w:r>
        <w:t xml:space="preserve"> - In the 2024-25 financial year, local authorities in England have planned a net expenditure of £63.4 billion on the schools budget, marking a 9.7% increase from the previous year. This budget allocation includes £51.3 billion for individual school budgets, £2.1 billion for high needs place funding, and £10.1 billion for services funded through the schools budget. The planned expenditure per pupil is £5,731, reflecting the government's commitment to investing in education to support student outcomes.</w:t>
      </w:r>
      <w:r/>
    </w:p>
    <w:p>
      <w:pPr>
        <w:pStyle w:val="ListNumber"/>
        <w:spacing w:line="240" w:lineRule="auto"/>
        <w:ind w:left="720"/>
      </w:pPr>
      <w:r/>
      <w:hyperlink r:id="rId14">
        <w:r>
          <w:rPr>
            <w:color w:val="0000EE"/>
            <w:u w:val="single"/>
          </w:rPr>
          <w:t>https://explore-education-statistics.service.gov.uk/find-statistics/school-workforce-in-england</w:t>
        </w:r>
      </w:hyperlink>
      <w:r>
        <w:t xml:space="preserve"> - The school workforce statistics for 2024 indicate that the pupil-to-teacher ratio in primary schools is 20.8 pupils per teacher, consistent with the previous year and lower than the peak of 20.9 in 2017/18 to 2019/20. In secondary schools, the ratio is 16.7 pupils per teacher, slightly down from 16.8 the previous year. These figures suggest a stable teaching environment, with pupil numbers in primary schools projected to decline until 2028, while secondary school populations are expected to increase until 2024 before gradually decreasing.</w:t>
      </w:r>
      <w:r/>
    </w:p>
    <w:p>
      <w:pPr>
        <w:pStyle w:val="ListNumber"/>
        <w:spacing w:line="240" w:lineRule="auto"/>
        <w:ind w:left="720"/>
      </w:pPr>
      <w:r/>
      <w:hyperlink r:id="rId15">
        <w:r>
          <w:rPr>
            <w:color w:val="0000EE"/>
            <w:u w:val="single"/>
          </w:rPr>
          <w:t>https://www.gov.uk/government/publications/ofsted-annual-report-202324-education-childrens-services-and-skills/the-annual-report-of-his-majestys-chief-inspector-of-education-childrens-services-and-skills-202324</w:t>
        </w:r>
      </w:hyperlink>
      <w:r>
        <w:t xml:space="preserve"> - The 2023/24 annual report from His Majesty’s Chief Inspector of Education highlights a concerning rise in pupil absences since the pandemic. The overall absence rate has hovered around 7%, with persistently absent pupils (those missing more than 10% of sessions) exceeding 19% in autumn and spring terms. This issue is particularly acute among disadvantaged children, with over 40% of children in need being persistently absent. The report underscores the need for effective strategies to address attendance challenges and support student progress.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rishnews.com/news/uk/education-spending-plans-will-struggle-to-narrow-gaps-in-outcomes-report-RE4LL34QTVIZDMGKNNKVJ7S3DQ/" TargetMode="External"/><Relationship Id="rId10" Type="http://schemas.openxmlformats.org/officeDocument/2006/relationships/hyperlink" Target="https://www.gov.uk/government/news/record-number-of-teachers-in-englands-schools" TargetMode="External"/><Relationship Id="rId11" Type="http://schemas.openxmlformats.org/officeDocument/2006/relationships/hyperlink" Target="https://www.gov.uk/government/news/government-delivering-on-60000-more-special-needs-places" TargetMode="External"/><Relationship Id="rId12" Type="http://schemas.openxmlformats.org/officeDocument/2006/relationships/hyperlink" Target="https://explore-education-statistics.service.gov.uk/find-statistics/education-and-training-statistics-for-the-uk" TargetMode="External"/><Relationship Id="rId13" Type="http://schemas.openxmlformats.org/officeDocument/2006/relationships/hyperlink" Target="https://explore-education-statistics.service.gov.uk/find-statistics/planned-la-and-school-expenditure" TargetMode="External"/><Relationship Id="rId14" Type="http://schemas.openxmlformats.org/officeDocument/2006/relationships/hyperlink" Target="https://explore-education-statistics.service.gov.uk/find-statistics/school-workforce-in-england" TargetMode="External"/><Relationship Id="rId15" Type="http://schemas.openxmlformats.org/officeDocument/2006/relationships/hyperlink" Target="https://www.gov.uk/government/publications/ofsted-annual-report-202324-education-childrens-services-and-skills/the-annual-report-of-his-majestys-chief-inspector-of-education-childrens-services-and-skills-202324"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