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secondary schools face decline in pupil numbers amid demographic and funding shifts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London’s secondary schools are bracing for a significant decline in pupil numbers, a trend primarily driven by falling birth rates in the capital. This demographic shift is set to create financial and operational challenges for schools, with effects already visible in shrinking class sizes, mergers of year groups, and even closures of some institutions.</w:t>
      </w:r>
      <w:r/>
    </w:p>
    <w:p>
      <w:r/>
      <w:r>
        <w:t>The Evening Standard recently outlined how the sustained drop in births, coupled with economic pressures such as rising living costs and limited housing, is motivating families to move out of London, further reducing the number of school-age children within the city. This chain reaction is expected to worsen as smaller primary school cohorts move into secondary education, straining school resources and forcing difficult decisions around school capacities and class structures.</w:t>
      </w:r>
      <w:r/>
    </w:p>
    <w:p>
      <w:r/>
      <w:r>
        <w:t>These changes compound existing inequalities within the education system, especially evident in the discrepancy between schools serving affluent communities versus those in less wealthy areas. Schools with wealthier intakes often benefit from considerable parental financial support, which mitigates some funding difficulties. As noted by education experts, more affluent schools can rely on parents to raise significant supplementary funds to cushion the impact of declining statutory funding, softening some of the harsher financial effects felt in less privileged settings.</w:t>
      </w:r>
      <w:r/>
    </w:p>
    <w:p>
      <w:r/>
      <w:r>
        <w:t>Research from the United States offers a stark illustration of this dynamic. Reports from the Center for American Progress and New America highlight that the 50 wealthiest Parent-Teacher Associations (PTAs) collectively raised nearly $43 million in unrestricted funds, averaging around $867 per student. This substantial parental contribution exacerbates disparities, allowing affluent schools to invest in smaller class sizes, enhanced programmes, and additional resources, directly influencing educational outcomes.</w:t>
      </w:r>
      <w:r/>
    </w:p>
    <w:p>
      <w:r/>
      <w:r>
        <w:t>However, the elevation of parent fundraising, while beneficial in wealthy communities, also brings challenges. Insights from the American Association of School Administrators reveal tensions arising in affluent areas where increased donations lead to rising demands for higher-quality educational offerings, further complicating equitable resource allocation. The interplay between affluent parents’ expectations and the needs of students from less wealthy backgrounds complicates policy and school leadership decisions, potentially heightening disparities within the education system.</w:t>
      </w:r>
      <w:r/>
    </w:p>
    <w:p>
      <w:r/>
      <w:r>
        <w:t>Efforts to address these inequalities are underway in various forms. For example, initiatives like the 'School 2 School' project in New York foster solidarity by channeling resources from affluent schools to underfunded ones, thereby attempting to balance opportunities across socioeconomic lines. Similarly, reports urge the incorporation of transparency measures and equitable partnerships among schools to harness parent contributions more fairly, ensuring that financial support benefits a broader student population.</w:t>
      </w:r>
      <w:r/>
    </w:p>
    <w:p>
      <w:r/>
      <w:r>
        <w:t>Meanwhile, private education reflects another facet of these dynamics. The National Association of Independent Schools (NAIS) underscores the importance of substantial financial aid programs to maintain school accessibility, as only a small fraction of families would be able to commit to private schooling costs without such support. This highlights both the barriers to entry and the critical role of aid in broadening educational access amid financial constraints.</w:t>
      </w:r>
      <w:r/>
    </w:p>
    <w:p>
      <w:r/>
      <w:r>
        <w:t>As London’s secondary schools navigate the coming demographic and financial realities, the interplay between birth rate declines, housing affordability, and parental contributions paints a complex picture of educational equity. The evolving landscape demands nuanced policy responses and community engagement to ensure that all children, regardless of background, receive a quality education amidst shifting circumstances.</w:t>
      </w:r>
      <w:r/>
    </w:p>
    <w:p>
      <w:pPr>
        <w:pStyle w:val="Heading3"/>
      </w:pPr>
      <w:r>
        <w:t>📌 Reference Map:</w:t>
      </w:r>
      <w:r/>
      <w:r/>
    </w:p>
    <w:p>
      <w:pPr>
        <w:pStyle w:val="ListBullet"/>
        <w:spacing w:line="240" w:lineRule="auto"/>
        <w:ind w:left="720"/>
      </w:pPr>
      <w:r/>
      <w:hyperlink r:id="rId9">
        <w:r>
          <w:rPr>
            <w:color w:val="0000EE"/>
            <w:u w:val="single"/>
          </w:rPr>
          <w:t>[1]</w:t>
        </w:r>
      </w:hyperlink>
      <w:r>
        <w:t xml:space="preserve">, </w:t>
      </w:r>
      <w:hyperlink r:id="rId9">
        <w:r>
          <w:rPr>
            <w:color w:val="0000EE"/>
            <w:u w:val="single"/>
          </w:rPr>
          <w:t>[2]</w:t>
        </w:r>
      </w:hyperlink>
      <w:r>
        <w:t xml:space="preserve"> (Evening Standard) - Paragraphs 1, 2, 3 </w:t>
      </w:r>
      <w:r/>
    </w:p>
    <w:p>
      <w:pPr>
        <w:pStyle w:val="ListBullet"/>
        <w:spacing w:line="240" w:lineRule="auto"/>
        <w:ind w:left="720"/>
      </w:pPr>
      <w:r/>
      <w:hyperlink r:id="rId10">
        <w:r>
          <w:rPr>
            <w:color w:val="0000EE"/>
            <w:u w:val="single"/>
          </w:rPr>
          <w:t>[3]</w:t>
        </w:r>
      </w:hyperlink>
      <w:r>
        <w:t xml:space="preserve">, </w:t>
      </w:r>
      <w:hyperlink r:id="rId11">
        <w:r>
          <w:rPr>
            <w:color w:val="0000EE"/>
            <w:u w:val="single"/>
          </w:rPr>
          <w:t>[4]</w:t>
        </w:r>
      </w:hyperlink>
      <w:r>
        <w:t xml:space="preserve"> (Center for American Progress, New America) - Paragraphs 4, 5 </w:t>
      </w:r>
      <w:r/>
    </w:p>
    <w:p>
      <w:pPr>
        <w:pStyle w:val="ListBullet"/>
        <w:spacing w:line="240" w:lineRule="auto"/>
        <w:ind w:left="720"/>
      </w:pPr>
      <w:r/>
      <w:hyperlink r:id="rId12">
        <w:r>
          <w:rPr>
            <w:color w:val="0000EE"/>
            <w:u w:val="single"/>
          </w:rPr>
          <w:t>[5]</w:t>
        </w:r>
      </w:hyperlink>
      <w:r>
        <w:t xml:space="preserve"> (American Association of School Administrators) - Paragraph 6 </w:t>
      </w:r>
      <w:r/>
    </w:p>
    <w:p>
      <w:pPr>
        <w:pStyle w:val="ListBullet"/>
        <w:spacing w:line="240" w:lineRule="auto"/>
        <w:ind w:left="720"/>
      </w:pPr>
      <w:r/>
      <w:hyperlink r:id="rId13">
        <w:r>
          <w:rPr>
            <w:color w:val="0000EE"/>
            <w:u w:val="single"/>
          </w:rPr>
          <w:t>[7]</w:t>
        </w:r>
      </w:hyperlink>
      <w:r>
        <w:t xml:space="preserve"> (Time) - Paragraph 7 </w:t>
      </w:r>
      <w:r/>
    </w:p>
    <w:p>
      <w:pPr>
        <w:pStyle w:val="ListBullet"/>
        <w:spacing w:line="240" w:lineRule="auto"/>
        <w:ind w:left="720"/>
      </w:pPr>
      <w:r/>
      <w:hyperlink r:id="rId14">
        <w:r>
          <w:rPr>
            <w:color w:val="0000EE"/>
            <w:u w:val="single"/>
          </w:rPr>
          <w:t>[6]</w:t>
        </w:r>
      </w:hyperlink>
      <w:r>
        <w:t xml:space="preserve"> (National Association of Independent Schools) - Paragraph 8 </w:t>
      </w:r>
      <w:r/>
    </w:p>
    <w:p>
      <w:pPr>
        <w:pStyle w:val="ListBullet"/>
        <w:spacing w:line="240" w:lineRule="auto"/>
        <w:ind w:left="720"/>
      </w:pPr>
      <w:r/>
      <w:hyperlink r:id="rId9">
        <w:r>
          <w:rPr>
            <w:color w:val="0000EE"/>
            <w:u w:val="single"/>
          </w:rPr>
          <w:t>[2]</w:t>
        </w:r>
      </w:hyperlink>
      <w:r>
        <w:t xml:space="preserve">, </w:t>
      </w:r>
      <w:hyperlink r:id="rId9">
        <w:r>
          <w:rPr>
            <w:color w:val="0000EE"/>
            <w:u w:val="single"/>
          </w:rPr>
          <w:t>[1]</w:t>
        </w:r>
      </w:hyperlink>
      <w:r>
        <w:t xml:space="preserve"> (Evening Standard) - Paragraph 9</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https://www.standard.co.uk/news/london/secondary-school-pupil-numbers-decline-birth-rates-b1257962.html</w:t>
        </w:r>
      </w:hyperlink>
      <w:r>
        <w:t xml:space="preserve"> - Please view link - unable to able to access data</w:t>
      </w:r>
      <w:r/>
    </w:p>
    <w:p>
      <w:pPr>
        <w:pStyle w:val="ListNumber"/>
        <w:spacing w:line="240" w:lineRule="auto"/>
        <w:ind w:left="720"/>
      </w:pPr>
      <w:r/>
      <w:hyperlink r:id="rId9">
        <w:r>
          <w:rPr>
            <w:color w:val="0000EE"/>
            <w:u w:val="single"/>
          </w:rPr>
          <w:t>https://www.standard.co.uk/news/london/secondary-school-pupil-numbers-decline-birth-rates-b1257962.html</w:t>
        </w:r>
      </w:hyperlink>
      <w:r>
        <w:t xml:space="preserve"> - An article from the Evening Standard discussing the anticipated decline in pupil numbers in London's secondary schools, attributed to a steady drop in the capital's birth rate. The piece highlights the challenges faced by schools, including merging classes and year groups, and the closure of schools due to dwindling student populations. Experts suggest that the decline in primary school numbers is expected to affect secondary schools in the coming years, with factors such as the cost of living and housing availability influencing families' decisions to leave the capital.</w:t>
      </w:r>
      <w:r/>
    </w:p>
    <w:p>
      <w:pPr>
        <w:pStyle w:val="ListNumber"/>
        <w:spacing w:line="240" w:lineRule="auto"/>
        <w:ind w:left="720"/>
      </w:pPr>
      <w:r/>
      <w:hyperlink r:id="rId10">
        <w:r>
          <w:rPr>
            <w:color w:val="0000EE"/>
            <w:u w:val="single"/>
          </w:rPr>
          <w:t>https://www.americanprogress.org/press/release-new-cap-report-reveals-outsized-role-parent-contributions-school-finance/</w:t>
        </w:r>
      </w:hyperlink>
      <w:r>
        <w:t xml:space="preserve"> - A report from the Center for American Progress revealing that the wealthiest 50 Parent-Teacher Associations (PTAs) in the United States raise $43 million in unrestricted funds, contributing to funding inequities in education. The report emphasizes the need for proactive solutions, including transparency measures and partnerships among schools across socioeconomic spectra, to harness parent fundraising effectively and support all schools equitably.</w:t>
      </w:r>
      <w:r/>
    </w:p>
    <w:p>
      <w:pPr>
        <w:pStyle w:val="ListNumber"/>
        <w:spacing w:line="240" w:lineRule="auto"/>
        <w:ind w:left="720"/>
      </w:pPr>
      <w:r/>
      <w:hyperlink r:id="rId11">
        <w:r>
          <w:rPr>
            <w:color w:val="0000EE"/>
            <w:u w:val="single"/>
          </w:rPr>
          <w:t>https://www.newamerica.org/education-policy/edcentral/parent-contributions/</w:t>
        </w:r>
      </w:hyperlink>
      <w:r>
        <w:t xml:space="preserve"> - An article from New America discussing the significant role of parent contributions in elementary school finance. It highlights how donations from affluent PTAs can exacerbate educational inequities, with the richest 50 PTAs raising nearly $43 million, averaging $867 per student. The piece underscores the impact of increased per-student spending on test scores and the need for equitable funding solutions.</w:t>
      </w:r>
      <w:r/>
    </w:p>
    <w:p>
      <w:pPr>
        <w:pStyle w:val="ListNumber"/>
        <w:spacing w:line="240" w:lineRule="auto"/>
        <w:ind w:left="720"/>
      </w:pPr>
      <w:r/>
      <w:hyperlink r:id="rId12">
        <w:r>
          <w:rPr>
            <w:color w:val="0000EE"/>
            <w:u w:val="single"/>
          </w:rPr>
          <w:t>https://www.aasa.org/resources/resource/angst-affluent-communities</w:t>
        </w:r>
      </w:hyperlink>
      <w:r>
        <w:t xml:space="preserve"> - An article from the American Association of School Administrators (AASA) exploring the challenges faced by affluent communities in school funding. It discusses how generous parent donations can lead to demands for lower class sizes and enhanced educational programs, creating tensions between parents and school leaders. The piece also touches on the complexities of accommodating students from less affluent areas and the associated community dynamics.</w:t>
      </w:r>
      <w:r/>
    </w:p>
    <w:p>
      <w:pPr>
        <w:pStyle w:val="ListNumber"/>
        <w:spacing w:line="240" w:lineRule="auto"/>
        <w:ind w:left="720"/>
      </w:pPr>
      <w:r/>
      <w:hyperlink r:id="rId14">
        <w:r>
          <w:rPr>
            <w:color w:val="0000EE"/>
            <w:u w:val="single"/>
          </w:rPr>
          <w:t>https://www.nais.org/resource-center/resources/research/nais-research-2024-report-on-how-parents-pay-school-costs</w:t>
        </w:r>
      </w:hyperlink>
      <w:r>
        <w:t xml:space="preserve"> - A report from the National Association of Independent Schools (NAIS) detailing how parents contribute to school costs. It highlights the crucial role of financial aid in enabling families to enroll their children in private schools, noting that without this support, only 10% of parents who applied for financial aid for the 2023–2024 academic year would still be very or extremely likely to send their children to private school.</w:t>
      </w:r>
      <w:r/>
    </w:p>
    <w:p>
      <w:pPr>
        <w:pStyle w:val="ListNumber"/>
        <w:spacing w:line="240" w:lineRule="auto"/>
        <w:ind w:left="720"/>
      </w:pPr>
      <w:r/>
      <w:hyperlink r:id="rId13">
        <w:r>
          <w:rPr>
            <w:color w:val="0000EE"/>
            <w:u w:val="single"/>
          </w:rPr>
          <w:t>https://time.com/4516924/how-one-wealthy-manhattan-school-is-fighting-inequality/</w:t>
        </w:r>
      </w:hyperlink>
      <w:r>
        <w:t xml:space="preserve"> - An article from Time magazine detailing how parents at P.S. 87, an affluent Manhattan school, initiated the 'School 2 School' project to support economically disadvantaged schools in the South Bronx. By leveraging online fundraising platforms, they raised approximately $14,000 for 27 projects across 11 schools, aiming to provide resources like high-interest books and educational STEM toys to underfunded classrooms.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london/secondary-school-pupil-numbers-decline-birth-rates-b1257962.html" TargetMode="External"/><Relationship Id="rId10" Type="http://schemas.openxmlformats.org/officeDocument/2006/relationships/hyperlink" Target="https://www.americanprogress.org/press/release-new-cap-report-reveals-outsized-role-parent-contributions-school-finance/" TargetMode="External"/><Relationship Id="rId11" Type="http://schemas.openxmlformats.org/officeDocument/2006/relationships/hyperlink" Target="https://www.newamerica.org/education-policy/edcentral/parent-contributions/" TargetMode="External"/><Relationship Id="rId12" Type="http://schemas.openxmlformats.org/officeDocument/2006/relationships/hyperlink" Target="https://www.aasa.org/resources/resource/angst-affluent-communities" TargetMode="External"/><Relationship Id="rId13" Type="http://schemas.openxmlformats.org/officeDocument/2006/relationships/hyperlink" Target="https://time.com/4516924/how-one-wealthy-manhattan-school-is-fighting-inequality/" TargetMode="External"/><Relationship Id="rId14" Type="http://schemas.openxmlformats.org/officeDocument/2006/relationships/hyperlink" Target="https://www.nais.org/resource-center/resources/research/nais-research-2024-report-on-how-parents-pay-school-cost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