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 Report Reveals Severe Impact of Illegal Wildlife Trade on Global Biodiversity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a UN report highlighted the severe impact of illegal wildlife trade, involving over 4,000 species across more than 80% of countries globally. The UN Office on Drugs and Crime (UNODC) analyzed data from over 140,000 wildlife seizures between 2015 and 2021, revealing that this illicit trade targets a range of animals and plants for purposes such as medicine, pets, bushmeat, and ornaments.</w:t>
      </w:r>
      <w:r/>
    </w:p>
    <w:p>
      <w:r/>
      <w:r>
        <w:t>Significantly, 40% of the seized specimens were from species classified as threatened or near-threatened. The trade not only poses a risk to biodiversity but also undercuts public health, livelihoods, and efforts against climate change. High-profile seizures have included large reptiles like crocodiles, elephants, and corals, while lesser-known affected species like certain orchids and succulents face the risk of extinction with little public awareness.</w:t>
      </w:r>
      <w:r/>
    </w:p>
    <w:p>
      <w:r/>
      <w:r>
        <w:t>The illegal trade, estimated to be worth up to $23 billion annually, is linked to organized crime and is often facilitated by corruption, including bribes and fraudulent permits. Despite increasing seizures over the past two decades, the report emphasizes that actual trafficking levels are much higher than those recorded.</w:t>
      </w:r>
      <w:r/>
    </w:p>
    <w:p>
      <w:r/>
      <w:r>
        <w:t>Addressing this global issue, the UNODC calls for improved enforcement, legislative implementation, and enhanced monitoring and research. The ultimate goal aligns with the UN’s sustainable development targets to end trafficking of protected species by 2030, a target which current data does not yet support achieving.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