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Guinness Announces 100 Million Euro Investment to Decarbonize Dublin Brewery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Guinness Invests 100 Million Euros in Decarbonization of Dublin Brewery</w:t>
      </w:r>
      <w:r/>
    </w:p>
    <w:p>
      <w:r/>
      <w:r>
        <w:t>The makers of Guinness, Diageo, have announced a 100 million-euro investment aimed at decarbonizing their brewery operations at St James’s Gate in Dublin. The initiative, unveiled on May 16, 2024, seeks to eliminate the use of fossil fuels in direct brewing processes and cut greenhouse gas emissions by over 90%.</w:t>
      </w:r>
      <w:r/>
    </w:p>
    <w:p>
      <w:r/>
      <w:r>
        <w:t>The investment will fund a renewable energy strategy combining grid-supplied electrical power, heat pumps, and biogas produced through a new water recovery facility. This facility will also enhance water efficiency, targeting a 30% reduction in water usage by 2030.</w:t>
      </w:r>
      <w:r/>
    </w:p>
    <w:p>
      <w:r/>
      <w:r>
        <w:t>Irish premier Simon Harris lauded the "green transformation" during the announcement, highlighting the alignment of industry growth with climate action. Diageo's CEO Debra Crew expressed gratitude for government support via Enterprise Ireland grants and reiterated the company's long-term sustainability commitment.</w:t>
      </w:r>
      <w:r/>
    </w:p>
    <w:p>
      <w:r/>
      <w:r>
        <w:t>Diageo plans to submit a planning application for the project to Dublin City Council later this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