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Criminal Case Filed Against TotalEnergies for Climate-Related Deaths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a criminal case was filed in Paris against TotalEnergies and its directors, including CEO Patrick Pouyanné. The case alleges criminal wrongdoing such as involuntary manslaughter related to climate change. Filed by individuals who lost family members in extreme weather events, and three NGOs, the case strives to attribute accountability for the harmful impacts of fossil fuel emissions.</w:t>
      </w:r>
      <w:r/>
    </w:p>
    <w:p>
      <w:r/>
      <w:r>
        <w:t>This lawsuit is unprecedented, aiming to hold executives and major shareholders, such as BlackRock, legally responsible for lives lost due to climate-induced disasters. The plaintiffs argue that burning fossil fuels emits greenhouse gases, causing severe weather events. The Paris criminal prosecutor now has three months to decide whether to launch a formal investigation.</w:t>
      </w:r>
      <w:r/>
    </w:p>
    <w:p>
      <w:r/>
      <w:r>
        <w:t>The case coincides with TotalEnergies’ upcoming annual meeting and represents a significant step in climate litigation, traditionally focused on financial damages or corporate policy changes without criminal implications. If prosecuted, the accused could face prison sentences and fines.</w:t>
      </w:r>
      <w:r/>
    </w:p>
    <w:p>
      <w:r/>
      <w:r>
        <w:t>Past climate litigation successes in Europe include Shell being ordered to cut carbon emissions and rulings against the Swiss and UK governments for inadequate climate action. However, the outcome of this case could set new precedents in attributing direct corporate liability for climate-related fatalities.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