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 faces shareholder dissent over climate strategy at AGM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tense three-hour annual general meeting (AGM) at the InterContinental O2 in London on Tuesday, more than a fifth of Shell’s shareholders voted against the company's climate strategy. Of the votes, 21.8% were cast against the current climate strategy, while 18.6% supported a resolution from Dutch activist group Follow This, urging stronger alignment with the Paris Agreement’s decarbonization targets.</w:t>
      </w:r>
      <w:r/>
    </w:p>
    <w:p>
      <w:r/>
      <w:r>
        <w:t>This AGM followed Shell’s recent decisions to scale back several climate targets and cease plans to reduce oil production annually for the rest of the decade—actions aligned with CEO Wael Sawan’s strategy to prioritize higher-margin projects and natural gas production. Protesters outside the venue criticized Shell’s policies with signs and speeches, while disruptions also occurred inside, including a song performance against Shell and vocal challenges from shareholders and activists.</w:t>
      </w:r>
      <w:r/>
    </w:p>
    <w:p>
      <w:r/>
      <w:r>
        <w:t>Shell Chairman Sir Andrew Mackenzie and CEO Wael Sawan defended the company’s approach, arguing it is consistent with achieving net-zero emissions by 2050 and addressing growing global energy needs. The meeting also touched on human rights concerns and environmental issues, particularly Shell's activities in the Niger Delta. Despite the unrest, Shell's board emphasized their commitment to climate goals while focusing on energy production and shareholder value.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