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Chris Whitty Stresses Urgency of Reducing Human Faecal Pollution in UK Freshwater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Chris Whitty, England’s Chief Medical Officer, has emphasized that reducing human faecal matter in freshwater must be a "public health priority." This statement was made on May 21, 2024, amid mounting concerns over the condition of the nation's rivers and coasts. A recent report from the National Engineering Policy Centre, which involved wastewater experts, campaigners, and policymakers, called for significant improvements to the UK’s wastewater infrastructure to mitigate public health risks.</w:t>
      </w:r>
      <w:r/>
    </w:p>
    <w:p>
      <w:r/>
      <w:r>
        <w:t>Reports reveal that sewage spills into England's waterways have more than doubled in 2023, significantly impacting rivers, seas, and lakes. Whitty pointed out that sewage spills during wet weather represent only part of the issue, as treated water also retains faecal organisms upon being released back into the environment.</w:t>
      </w:r>
      <w:r/>
    </w:p>
    <w:p>
      <w:r/>
      <w:r>
        <w:t>Cryptosporidium outbreaks, particularly in Devon, where residents have been advised to boil water, highlight the urgency of the situation. The report from the engineering centre proposed 15 recommendations, including enhanced maintenance of water infrastructure, improved microbial and water quality monitoring, and revisions of bathing water standards.</w:t>
      </w:r>
      <w:r/>
    </w:p>
    <w:p>
      <w:r/>
      <w:r>
        <w:t>Charles Watson, Chair of River Action, stressed the need for political action to address these ongoing issues. The Environment Department announced plans to consult on new measures to improve bathing water quality and enhance monitoring. Water companies have also committed to doubling their investment in wastewater management by 2030.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