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Norfolk Southern Agrees to $310 Million Settlement for Ohio Train Derailment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Norfolk Southern has agreed to a $310 million settlement with the U.S. government due to a train derailment in East Palestine, Ohio, in February 2023. The agreement includes a $15 million civil penalty, with the remainder dedicated to covering cleanup costs and health and environmental monitoring. This settlement still requires approval from a federal court. </w:t>
      </w:r>
      <w:r/>
    </w:p>
    <w:p>
      <w:r/>
      <w:r>
        <w:t>The derailment involved 38 rail cars, 11 of which were carrying hazardous materials, including vinyl chloride. Fearing an explosion, responders released and burned the chemical, causing large plumes of dark smoke and resulting in the evacuation of hundreds of residents. Though there were no fatalities, the incident led to significant disruptions in the town.</w:t>
      </w:r>
      <w:r/>
    </w:p>
    <w:p>
      <w:r/>
      <w:r>
        <w:t>The Environmental Protection Agency (EPA) and Department of Justice (DOJ) are pushing Norfolk Southern to enhance rail safety and ensure that the company—not taxpayers—covers all cleanup and monitoring costs. The company had already earmarked funds for these expenses and expects to incur a total of $1.7 billion in costs, which includes a $600 million settlement from a class-action lawsuit.</w:t>
      </w:r>
      <w:r/>
    </w:p>
    <w:p>
      <w:r/>
      <w:r>
        <w:t xml:space="preserve">Investigations pointed to an overheated wheel bearing as the cause of the derailment. The event has prompted calls for stricter rail safety regulations, although legislative progress has been slow due to industry opposition. Norfolk Southern’s accident rate improved last year, contrasting with declines in the safety records of other major U.S. freight railroads. </w:t>
      </w:r>
      <w:r/>
    </w:p>
    <w:p>
      <w:r/>
      <w:r>
        <w:t>Ongoing scrutiny from the Ohio and Pennsylvania state attorneys general and an impending National Transportation Safety Board report will continue to spotlight the incident's ramifications and potential regulatory changes.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