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ConocoPhillips Agrees to Acquire Marathon Oil for $22.5 Billion in All-Stock Deal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ConocoPhillips has announced its agreement to purchase Marathon Oil in an all-stock transaction valued at $22.5 billion, including $5.4 billion of debt. This merger grants Marathon Oil shareholders 0.255 ConocoPhillips shares for each Marathon share, equating to a 14.7% premium based on Marathon's closing price on Tuesday. </w:t>
      </w:r>
      <w:r/>
    </w:p>
    <w:p>
      <w:r/>
      <w:r>
        <w:t>ConocoPhillips and Houston-based Marathon Oil aim to complete the deal by the fourth quarter of 2024, pending shareholder and regulatory approval. The acquisition aligns with a recent surge in mergers within the oil industry, following notable deals like ExxonMobil's $60 billion purchase of Pioneer Natural Resources and Chevron's $53 billion deal for Hess Corporation.</w:t>
      </w:r>
      <w:r/>
    </w:p>
    <w:p>
      <w:r/>
      <w:r>
        <w:t>ConocoPhillips CEO Ryan Lance emphasized that the acquisition would enhance the company's portfolio with high-quality, low-cost inventory. Marathon Oil's CEO Lee Tillman expressed confidence in the potential long-term shareholder value resulting from the merger.</w:t>
      </w:r>
      <w:r/>
    </w:p>
    <w:p>
      <w:r/>
      <w:r>
        <w:t>ConocoPhillips projects savings of $500 million within the first year post-closure and plans substantial stock repurchases totaling over $20 billion in three years. The merger continues the trend of consolidation in the U.S. energy sector, driven by elevated oil prices and substantial company profits.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