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Edinburgh City Council Implements Ban on High-Carbon Product Promotion in Advertising Spaces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City of Edinburgh Council has implemented a ban on the promotion of high-carbon products in council-owned advertising spaces. This new policy, introduced by the Scottish Greens, covers the promotion of fossil fuel-powered vehicles, commercial flights, and cruise holidays. Notably, it includes a prohibition on advertising both traditional and electric SUVs but does not extend to meat products due to their controversial nature.</w:t>
      </w:r>
      <w:r/>
    </w:p>
    <w:p>
      <w:r/>
      <w:r>
        <w:t>The council’s decision aligns with similar measures already adopted by Sheffield City Council and aims to encourage consumer behavioral changes to support decarbonization efforts. The new policy also excludes fossil fuel companies and arms manufacturers from sponsorship deals in council spaces.</w:t>
      </w:r>
      <w:r/>
    </w:p>
    <w:p>
      <w:r/>
      <w:r>
        <w:t>Edinburgh’s Policy and Sustainability Committee approved the ban on Tuesday. Green Councillor Ben Parker, a key figure behind the policy, emphasized the importance of not allowing council advertising to support organizations profiting from fossil fuels. He stated that the move demonstrates the council’s commitment to climate justice.</w:t>
      </w:r>
      <w:r/>
    </w:p>
    <w:p>
      <w:r/>
      <w:r>
        <w:t>The policy has been praised by the campaign group Adfree Cities. Robbie Gillett of Adfree Cities described it as a world-leading climate policy, positioning Edinburgh ahead of other global capital cities in environmental regulation.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