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Party Launches General Election Campaign in Bristol Targeting Four Key Seats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Green Party has launched its General Election campaign from Bristol. With an increase in local councillors to 812, the party aims to elect four MPs on July 4, targeting Brighton Pavilion, Bristol Central, Waveney Valley, and North Herefordshire. Co-leader Adrian Ramsay emphasized the party's focus on offering "real hope and real change," addressing issues such as the cost-of-living crisis, housing, the NHS, and environmental concerns. </w:t>
      </w:r>
      <w:r/>
    </w:p>
    <w:p>
      <w:r/>
      <w:r>
        <w:t>Former leader Sian Berry highlighted the need for Green representation to pressure Labour for more ambitious policies. Current polls show the Green Party at 6%. Co-leader Carla Denyer criticized Labour’s stance on green investments and privatization of the NHS, advocating for practical solutions and stronger measures to address environmental issues. Zack Polanski, deputy leader, stressed a firm stance against antisemitism, urging careful differentiation between criticizing Israeli government policies and antisemitism.</w:t>
      </w:r>
      <w:r/>
    </w:p>
    <w:p>
      <w:r/>
      <w:r>
        <w:t>Caroline Lucas, the only Green MP since 2010, will not seek re-election but remains committed to the party, focusing on nature and climate initiatives.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