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Cities Introduce Low Emission Zones to Combat Air Pollution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Edinburgh, Dundee, and Aberdeen have introduced Low Emission Zones (LEZs) in their city centers this week, following Glasgow's lead from a year earlier. These zones aim to reduce the presence of older vehicles to improve air quality.</w:t>
      </w:r>
      <w:r/>
    </w:p>
    <w:p>
      <w:r/>
      <w:r>
        <w:t>Lorna Slater, co-leader of the Scottish Greens, emphasized the significance of these zones, stating that there is no safe level of air pollution. Kayleigh O’Neill, transport spokeswoman for the Edinburgh City Council, noted that the LEZs will make cities cleaner and more accessible.</w:t>
      </w:r>
      <w:r/>
    </w:p>
    <w:p>
      <w:r/>
      <w:r>
        <w:t>Transport Secretary Fiona Hyslop supported the initiative, highlighting that air pollution adversely impacts health and that similar measures are already in place in over 320 cities across Europe. However, the LEZs have faced criticism from business owners concerned about a potential decline in foot traffic to city centers.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