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Federal Government's Climate Actions Under Scrutiny as Crisis Deepens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Australian Federal Government's Climate Actions Questioned Amid Ongoing Crisis</w:t>
      </w:r>
      <w:r/>
    </w:p>
    <w:p>
      <w:r/>
      <w:r>
        <w:t>On June 2, 2024, Joëlle Gergis released a Quarterly Essay critiquing the Australian government's response to climate change. While the administration of Prime Minister Anthony Albanese and Climate Change Minister Chris Bowen made initial strides following the 2022 federal election, actions are seen as insufficient to address the escalating crisis. Despite commitments, greenhouse gas emissions are rising, and large fossil fuel projects continue to receive approvals.</w:t>
      </w:r>
      <w:r/>
    </w:p>
    <w:p>
      <w:r/>
      <w:r>
        <w:t>Australia, a leading fossil fuel exporter, seemingly prioritizes industry over environmental reform. Tax reports highlight greater revenue from student loans than from the fossil fuel sector, drawing comparisons to countries like Norway, which taxes fossil fuels to fund education.</w:t>
      </w:r>
      <w:r/>
    </w:p>
    <w:p>
      <w:r/>
      <w:r>
        <w:t>The current climate trajectory suggests severe future warming, with potential effects on Australia's national security, health, and ecosystems. Public perception lags behind scientific consensus, revealing a disconnect that may hinder urgent policy advancements needed to mitigate climate impacts.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