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Groups Call for Climate Crisis to Take Centre Stage in 2024 General Election Debates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Green groups have collectively urged UK broadcasters to prioritize the climate crisis as a central issue in the 2024 General Election debates. Several environmental organizations, including Green Alliance, WWF, Greenpeace UK, and The National Trust, have written to leading broadcasters such as the BBC, ITV, Channel 4, Sky, and Global, emphasizing the need for climate and nature recovery discussions in the live TV debates. </w:t>
      </w:r>
      <w:r/>
    </w:p>
    <w:p>
      <w:r/>
      <w:r>
        <w:t>The first debate between current Prime Minister Rishi Sunak and Labour leader Sir Keir Starmer is scheduled to air on ITV on Tuesday evening. The NGOs highlight that support for climate action is significant among all UK public demographics, yet the topic has received minimal attention in the election campaigns focused instead on the economy, national security, migration, and the NHS.</w:t>
      </w:r>
      <w:r/>
    </w:p>
    <w:p>
      <w:r/>
      <w:r>
        <w:t>The letter expresses concern over the lack of detailed examination of the main parties' plans to meet legal climate and nature targets, urging broadcasters to steer the coverage towards real solutions. Hirra Khan Adeogun, co-director of the climate charity Possible, emphasized that climate solutions are interconnected with other key issues like energy costs and the cost-of-living crisis.</w:t>
      </w:r>
      <w:r/>
    </w:p>
    <w:p>
      <w:r/>
      <w:r>
        <w:t>During the 2019 election, Channel 4 hosted an hour-long climate debate which saw the representation by ice sculptures for the absent Boris Johnson and Nigel Farage. Given the heightened public concern for climate issues, the involved green groups believe it is crucial for broadcasters to ensure these topics are given the necessary prominence in the current election discussions set to culminate on July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