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St Andrews Links Trust Reports Record Year with £11.5 Million Operating Profit in 2023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St Andrews Links Trust reported a record year in 2023, achieving an operating profit of £11.5 million, an increase from over £10 million in 2022. The Trust oversees the Old Course and six other venues, totaling earnings of £43.8 million. Last year witnessed 283,082 rounds of golf played, marking an 11% rise from 2022.</w:t>
      </w:r>
      <w:r/>
    </w:p>
    <w:p>
      <w:r/>
      <w:r>
        <w:t>The Trust’s CEO, Neil Coulson, highlighted the global rise in golf's popularity. Occupancy across the seven courses reached a historic high of 78%, and the St Andrews Links Golf Academy saw 7.6 million balls hit, surpassing the previous record by two million.</w:t>
      </w:r>
      <w:r/>
    </w:p>
    <w:p>
      <w:r/>
      <w:r>
        <w:t>Revenue from golfing reached £24.2 million, while retail and food and beverage operations saw 20% and 29% increases in customer numbers, respectively. Following losses during the COVID-19 pandemic, the Trust emphasized its restored financial health, facilitating future investments in infrastructure.</w:t>
      </w:r>
      <w:r/>
    </w:p>
    <w:p>
      <w:r/>
      <w:r>
        <w:t>Significant projects include upgrading irrigation systems, clubhouse and academy extensions, and renovating the Castle Course. The Trust acquired 70 acres of land for £3.5 million in February, enhancing ongoing protection efforts and potential future expansion. The Trust remains committed to sustainability and coastal management initiatives to combat erosion and flood risks.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