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Unseen Threat: Asbestos Exposure Continues to Haunt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Dangers of Asbestos Exposure</w:t>
      </w:r>
      <w:r/>
    </w:p>
    <w:p>
      <w:r/>
      <w:r>
        <w:t>Asbestos, a group of minerals made of microscopic fibers, was extensively used in construction from the 1950s to the 1990s in the UK. This practice ceased when the UK banned asbestos in 1999 due to its severe health hazards. However, many buildings constructed before the ban still contain asbestos, posing ongoing risks.</w:t>
      </w:r>
      <w:r/>
    </w:p>
    <w:p>
      <w:r/>
      <w:r>
        <w:t>Exposure to asbestos fibers can lead to serious health issues, including cancer. The UK Government classifies asbestos as a carcinogen. Chronic low-level inhalation can cause pleural disorders, mesothelioma, or lung cancer. High-dose exposure may lead to asbestosis. Mesothelioma, often affecting the lining of the lungs, stomach, heart, or testicles, has no known cure and typically manifests more than 20 years after exposure.</w:t>
      </w:r>
      <w:r/>
    </w:p>
    <w:p>
      <w:r/>
      <w:r>
        <w:t>Each year in the UK, around 2,700 people are diagnosed with mesothelioma, and approximately 2,500 deaths are attributed to the disease. Mesothelioma’s late-onset symptoms and rapid progression contribute to its poor prognosis.</w:t>
      </w:r>
      <w:r/>
    </w:p>
    <w:p>
      <w:r/>
      <w:r>
        <w:t>Symptoms of mesothelioma affecting the lungs include chest pain, shortness of breath, fatigue, fever, persistent cough, appetite loss, and clubbed fingertips. When affecting the stomach, symptoms encompass abdominal pain or swelling, nausea, appetite loss, and changes in bowel habits. The NHS advises seeing a GP if these symptoms appear and noting any prior asbestos exposure for appropriate tests such as X-rays or CT scans.</w:t>
      </w:r>
      <w:r/>
    </w:p>
    <w:p>
      <w:r/>
      <w:r>
        <w:t>Treatment for mesothelioma focuses on symptom management and extending life, utilizing methods like chemotherapy, radiotherapy, surgery, and immunotherapy.</w:t>
      </w:r>
      <w:r/>
    </w:p>
    <w:p>
      <w:r/>
      <w:r>
        <w:t>Asbestosis, a lung condition caused by asbestos exposure, presents symptoms like shortness of breath, persistent cough, wheezing, fatigue, chest or shoulder pain, and clubbed fingertips. As with mesothelioma, symptoms may take decades to emerge. Although asbestosis cannot be cured, treatments such as pulmonary rehabilitation, oxygen therapy, and inhalers can alleviate symptoms.</w:t>
      </w:r>
      <w:r/>
    </w:p>
    <w:p>
      <w:pPr>
        <w:pStyle w:val="Heading3"/>
      </w:pPr>
      <w:r>
        <w:t>Childcare Challenges in Scotland</w:t>
      </w:r>
      <w:r/>
    </w:p>
    <w:p>
      <w:r/>
      <w:r>
        <w:t>A comprehensive review of parental experiences across Scotland reveals significant challenges faced by parents in accessing early learning and childcare. The "Parenting Evidence Review: Scotland," which includes data from 28 studies and 4,000 respondents, indicates widespread concerns about the impact of poverty, mental health, and childcare shortages on children's educational opportunities.</w:t>
      </w:r>
      <w:r/>
    </w:p>
    <w:p>
      <w:r/>
      <w:r>
        <w:t>Financial burdens are prominent, with over one-third of carers struggling to afford childcare. Notably, 81% of single parents and 93% of disabled women report childcare affordability issues due to increasing household expenses. Mothers, particularly, find childcare "unmanageable," with many affected by rising utility costs.</w:t>
      </w:r>
      <w:r/>
    </w:p>
    <w:p>
      <w:r/>
      <w:r>
        <w:t>Rural parents face additional hardships with limited flexible childcare options, whereas 16% of respondents noted childcare affected their work capabilities. Many reported exhausting schedules balancing work and childcare responsibilities.</w:t>
      </w:r>
      <w:r/>
    </w:p>
    <w:p>
      <w:r/>
      <w:r>
        <w:t>The research highlights the intersection of education access with income, minority status, and physical and mental health. Programmes like Book Bug and the Baby Box initiative are beneficial, but gaps remain, especially among minority and low-income families. Efforts to improve social services are vital to addressing these disparities.</w:t>
      </w:r>
      <w:r/>
    </w:p>
    <w:p>
      <w:r/>
      <w:r>
        <w:t>Amy Woodhouse of Parenting across Scotland emphasizes the urgent need for enhanced support for parents, focusing on poverty alleviation, improved access to services, and affordable childcare to ensure children have the best start in life.</w:t>
      </w:r>
      <w:r/>
    </w:p>
    <w:p>
      <w:pPr>
        <w:pStyle w:val="Heading3"/>
      </w:pPr>
      <w:r>
        <w:t>Shoplifting Crisis in Norwich</w:t>
      </w:r>
      <w:r/>
    </w:p>
    <w:p>
      <w:r/>
      <w:r>
        <w:t>Retail workers in Norwich report unprecedented levels of shoplifting and abuse. Patricia Flatt, a former Co-op employee with two decades in retail, describes the current situation as the worst she has encountered. Despite increased security measures at the East of England Co-op in Hall Road, incidents of theft and abuse remain high.</w:t>
      </w:r>
      <w:r/>
    </w:p>
    <w:p>
      <w:r/>
      <w:r>
        <w:t>Flatt and her colleague Damion Moon were both dismissed earlier this year following altercations with shoplifters. They describe frequent threats and aggressive behaviors, including physical confrontations and vandalism, leading to concerns about inadequate security measures.</w:t>
      </w:r>
      <w:r/>
    </w:p>
    <w:p>
      <w:r/>
      <w:r>
        <w:t>Statistics from the Office for National Statistics indicate a 30% rise in shoplifting offences in Norfolk from 2022 to 2023, the highest since 2003. The East of England Co-op has reacted by implementing additional security measures, including body cameras, secure kiosks, and locked doors on high-value items. However, despite these efforts, employees continue to face significant risks.</w:t>
      </w:r>
      <w:r/>
    </w:p>
    <w:p>
      <w:r/>
      <w:r>
        <w:t>The Home Office recently introduced legislation to classify assaulting a retail worker as a standalone criminal offence, aimed at addressing the surge in shop crimes.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