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Conservation groups in legal push for stricter wildlife decline targets in England</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 coalition of over 80 nature conservation groups is initiating a legal effort to require the next government in England to enhance targets for addressing wildlife decline. The coalition, including the National Trust, the RSPB, and the Wildlife Trusts, is pushing for stricter biodiversity commitments, citing that one in six UK species faces extinction.</w:t>
      </w:r>
      <w:r/>
    </w:p>
    <w:p>
      <w:r/>
      <w:r>
        <w:t>The Wildlife and Countryside Link coalition seeks a judicial review, arguing that the current government has not adequately reviewed and improved existing environmental targets under the Environmental Improvement Plan (EIP). An independent watchdog, the Office for Environmental Protection (OEP), recently reported that only four out of 40 environmental targets for England are likely to be met.</w:t>
      </w:r>
      <w:r/>
    </w:p>
    <w:p>
      <w:r/>
      <w:r>
        <w:t>Labour has introduced a "countryside protection plan" intended to promote species recovery and create more "nature-rich habitats." The Conservatives have promised to protect 30% of land and sea for biodiversity by 2030, while the Liberal Democrats aim to double protected land by 2050.</w:t>
      </w:r>
      <w:r/>
    </w:p>
    <w:p>
      <w:r/>
      <w:r>
        <w:t>The Department for Environment, Food and Rural Affairs (Defra) stated it could not comment on the legal action but noted that a review of the EIP is not legally mandated until January 2028.</w:t>
      </w:r>
      <w:r/>
    </w:p>
    <w:p>
      <w:r/>
      <w:r>
        <w:t>Key conservation figures, including Richard Benwell of Wildlife and Countryside Link, Hilary McGrady of the National Trust, and Beccy Speight of the RSPB, urge all political parties to take immediate and significant action to address the ongoing decline in wildlife.</w:t>
      </w:r>
      <w:r/>
    </w:p>
    <w:p>
      <w:r/>
      <w:r>
        <w:t>The coalition's efforts come amid varying environmental commitments from the UK's principal political parties, highlighting the urgency of addressing wildlife loss and improving biodiversity protections.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