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 Solar Rides Meme Stock Wave as Shares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First Solar Shares Surge Amid Meme Stock Phenomenon</w:t>
      </w:r>
      <w:r/>
    </w:p>
    <w:p>
      <w:r/>
      <w:r>
        <w:t>First Solar, a US-based solar panel manufacturer, has experienced a significant rise in its share price, with a 60% increase this year, closing at $273 on a recent Thursday. Executives have capitalized on this surge, with CEO Mark Widmar converting $10 million in shares, and CFO Alex Bradley selling $4.4 million worth.</w:t>
      </w:r>
      <w:r/>
    </w:p>
    <w:p>
      <w:r/>
      <w:r>
        <w:t>The company's upward momentum is attributed partially to the Biden administration’s tariffs on China, but a significant boost came from its inclusion in the "meme stock" trend spurred by retail investors on forums like Reddit’s WallStreetBets. Morningstar analyst Brett Castelli notes that First Solar’s stock surge appears driven more by social media-fueled trading than traditional market fundamentals.</w:t>
      </w:r>
      <w:r/>
    </w:p>
    <w:p>
      <w:r/>
      <w:r>
        <w:t>These meme stocks, exemplified by GameStop’s 50% rise after a livestream announcement by investor Keith Gill, are known for their volatility. Although First Solar’s executives are currently profiting from this trend, the sustainability of these gains remains uncertain.</w:t>
      </w:r>
      <w:r/>
    </w:p>
    <w:p>
      <w:r/>
      <w:r>
        <w:rPr>
          <w:b/>
        </w:rPr>
        <w:t>Carbon Credit Methodologies Approved</w:t>
      </w:r>
      <w:r/>
    </w:p>
    <w:p>
      <w:r/>
      <w:r>
        <w:t>The Integrity Council for the Voluntary Carbon Market (ICVCM) has released its first approvals for carbon credit methodologies. These approvals cover projects aimed at capturing methane from landfills and destroying ozone-depleting substances. This development is crucial for a market beleaguered by allegations of overstating carbon impacts.</w:t>
      </w:r>
      <w:r/>
    </w:p>
    <w:p>
      <w:r/>
      <w:r>
        <w:t>With more than 100 methodologies under assessment, the ICVCM expects to have vetted over half of the current market’s credits by September. The approved methodologies can now apply the Core Carbon Principles (CCP) label, potentially becoming the benchmark for high-integrity carbon credits. Developers whose methodologies don’t meet standards may struggle to find buyers, raising the stakes for rigorous project evaluations.</w:t>
      </w:r>
      <w:r/>
    </w:p>
    <w:p>
      <w:r/>
      <w:r>
        <w:rPr>
          <w:b/>
        </w:rPr>
        <w:t>European Willingness to Support Climate Action</w:t>
      </w:r>
      <w:r/>
    </w:p>
    <w:p>
      <w:r/>
      <w:r>
        <w:t>A poll by consulting firm Deloitte surveyed 8,000 people across eight European nations—France, Germany, Italy, the Netherlands, Poland, Portugal, Spain, and the UK—regarding their willingness to pay higher taxes for climate action. Results indicate a general support for increased taxes, especially among higher-income respondents and residents of southern European countries heavily impacted by climate issues. This data emerges ahead of significant European elections, highlighting the electorate's climate priorities.</w:t>
      </w:r>
      <w:r/>
    </w:p>
    <w:p>
      <w:r/>
      <w:r>
        <w:rPr>
          <w:b/>
        </w:rPr>
        <w:t>Zombies: Debt-Hobbled Companies on the Brink</w:t>
      </w:r>
      <w:r/>
    </w:p>
    <w:p>
      <w:r/>
      <w:r>
        <w:t>An Associated Press analysis has identified nearly 7,000 global companies, including 2,000 US firms, that qualify as "zombies"—entities struggling to cover loan interest with their operational earnings over the past three years. These companies, ranging from Carnival Cruise Line to Manchester United, are at risk of defaulting on $1.1 trillion of loans due by year-end.</w:t>
      </w:r>
      <w:r/>
    </w:p>
    <w:p>
      <w:r/>
      <w:r>
        <w:t>Zombies increased by roughly 30% over the last decade, exacerbated by low-interest borrowing and economic shocks. The impending potential wave of bankruptcies poses significant risks to the global economy, especially if central banks don't lower interest rates soon. These companies often used borrowed funds for stock buybacks rather than operational improvements, leading to precarious financial positions as debt obligations loom.</w:t>
      </w:r>
      <w:r/>
    </w:p>
    <w:p>
      <w:r/>
      <w:r>
        <w:t>(500 words)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