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Welsh Water Faces Increase in Pollution Incidents Despite Significant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Welsh Water, Wales' largest water company serving three million people in Wales, Herefordshire, and parts of Deeside, experienced a 20% increase in sewage pollution incidents last year despite significant investment. The company recorded 107 pollution incidents in the last financial year compared to 89 the previous year. Reports also indicate that sewer flooding incidents rose to 201 from 169, and leakage increased to 251.7 megalitres per day from 242.1 megalitres per day.</w:t>
      </w:r>
      <w:r/>
    </w:p>
    <w:p>
      <w:r/>
      <w:r>
        <w:t>Natural Resources Wales downgraded Welsh Water's rating to two stars in June 2023, and the company was ordered to pay nearly £40 million to customers after an investigation by industry watchdog Ofwat revealed misreporting of leaks and performance over five years. Welsh Water reported investing £483 million last year to improve services and protect the environment, up from £400 million the previous year. Chairman Alastair Lyons emphasized the need to balance financeability and affordability, while CEO Peter Perry stated the company's focus on reducing environmentally harmful storm overflows.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