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Cardiff Resident Criticises Council's Priorities After Kerb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Glenn Rogers, a resident of Cyncoed, Cardiff, was required by Cardiff Council to redo his self-constructed dropped kerb using a council-approved contractor. Although Rogers did not obtain planning permission initially, he criticized the council's swift action against him while neglecting the potholes on Hampton Crescent West. Rogers, who shares a driveway with his neighbor, had extended the kerb by 1.5 meters to improve the breaking pavement. Despite reporting potholes to the council, Rogers stated the road's condition remains poor, causing injuries such as twisting his ankle.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