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Liberal Democrats pledge £1 billion annually to boost sustainable farming and tackle national sewage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Liberal Democrats have announced a pledge to boost sustainable farming with an additional £1 billion annually, targeting rural voters. The initiative is part of their broader environmental agenda, which also addresses the "national sewage scandal." The party aims to convert water companies into "public benefit companies," impose a "sewage tax" on profits, and ban executive bonuses until leaks are resolved.</w:t>
      </w:r>
      <w:r/>
    </w:p>
    <w:p>
      <w:r/>
      <w:r>
        <w:t>Their manifesto sets legally binding targets to halt sewage dumping into sensitive areas by 2030 and seeks to ensure storm overflows operate only in exceptional circumstances. The party criticizes the Conservatives' handling of EU-era farm subsidies and post-Brexit trade deals.</w:t>
      </w:r>
      <w:r/>
    </w:p>
    <w:p>
      <w:r/>
      <w:r>
        <w:t>The Lib Dems plan to support farmers in restoring natural landscapes and maintaining high welfare and environmental standards in future trade agreements. They also propose negotiating veterinary and plant health agreements with the EU to facilitate trade.</w:t>
      </w:r>
      <w:r/>
    </w:p>
    <w:p>
      <w:r/>
      <w:r>
        <w:t>Additional environmental commitments include planting 60 million trees annually, doubling protected natural areas, enhancing green spaces, and exploring waterway access. Climate strategies include a 10-year home upgrade program, increasing renewable energy to 90% of UK power by 2030, and restoring overseas aid to 0.7% of national income with a focus on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