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Technip Energies and Mitsubishi Chemical License Enhanced OXO Alcohol Technology for Chemical Industry Advancement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Technip Energies and Mitsubishi Chemical Corporation have announced the licensing of an improved OXO alcohol technology known as the 'OXO M-Process.' This advancement aims to enhance the production of n-butanol and 2-ethylhexanol by decreasing the formation of isobutyraldehyde, a by-product, thus lowering both capital and operational costs in the chemical manufacturing industry.</w:t>
      </w:r>
      <w:r/>
    </w:p>
    <w:p>
      <w:r/>
      <w:r>
        <w:t>The OXO alcohols produced using this technology are vital for applications in paints, coatings, and making plastic products more flexible. Bhaskar Patel from Technip Energies emphasized the growing market demand for OXO alcohols, while Masaru Utsunomiya from Mitsubishi Chemical highlighted the strengthened licensing business and reduction of greenhouse gas emissions as benefits of this collaboration.</w:t>
      </w:r>
      <w:r/>
    </w:p>
    <w:p>
      <w:r/>
      <w:r>
        <w:t xml:space="preserve">Technip Energies is headquartered in Boston and employs 15,000 people in 34 countries, specializing in engineering and technology for the energy transition. Mitsubishi Chemical Group, headquartered in Japan, is a global player in specialty materials focusing on markets such as mobility, digital, medical, and food. </w:t>
      </w:r>
      <w:r/>
    </w:p>
    <w:p>
      <w:r/>
      <w:r>
        <w:t>For more information, visit Technip Energies at www.ten.com and Mitsubishi Chemical Group at www.mcgc.com/english/.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