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Party Pledges £1 Billion Increase in UK Farming Subsidies Budget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Conservative Party has pledged to increase the UK's farming subsidies budget by £1 billion over the next parliament, a figure significantly lower than what countryside and nature groups demand. This funding will ensure the budget rises with inflation annually, allowing farmers to utilize these funds to enhance domestic production alongside existing nature-friendly farming schemes.</w:t>
      </w:r>
      <w:r/>
    </w:p>
    <w:p>
      <w:r/>
      <w:r>
        <w:t>This move comes ahead of the general election as the Conservatives compete for the rural vote against Labour, which polls show is narrowly ahead in these areas, and the Liberal Democrats, who often serve as a prominent alternative in rural constituencies. The Conservative manifesto includes reforms to expedite planning permissions for farm infrastructure like glasshouses and reservoirs and introduces a legally-binding target to enhance food security.</w:t>
      </w:r>
      <w:r/>
    </w:p>
    <w:p>
      <w:r/>
      <w:r>
        <w:t>Furthermore, the Conservative Party plans to reduce reliance on seasonal migrant labor through a five-year visa tapered scheme, invest in automation, and promote careers and skills in agri-food. They also pledge to support farmers in new trade deal negotiations to prevent the undermining of British producers by foreign food standards.</w:t>
      </w:r>
      <w:r/>
    </w:p>
    <w:p>
      <w:r/>
      <w:r>
        <w:t>For rural communities, commitments include improving rural broadband, affordable housing, and maintaining the current Hunting Act. The government aims to build on its post-Brexit farming subsidy approach that focuses on payments for "public goods" such as soil health, river protection, and wildlife habitat creation.</w:t>
      </w:r>
      <w:r/>
    </w:p>
    <w:p>
      <w:r/>
      <w:r>
        <w:t>The National Farmers' Union has recently called for an annual increase of over £2 billion to achieve environmental goals and sustainable food production. The Country Land and Business Association and Wildlife and Countryside Link also advocate for a significant budget rise to support climate-friendly farming.</w:t>
      </w:r>
      <w:r/>
    </w:p>
    <w:p>
      <w:r/>
      <w:r>
        <w:t>Richard Benwell, CEO of Wildlife and Countryside Link, welcomed the commitment to halting nature decline by 2030 but emphasized the need for stronger action. He expressed concerns over potential deregulation of the planning system and the removal of "nutrient neutrality" rules, which could negatively impact wildlife.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