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Controversy Surrounds McDonald's Plan for Former Buffet Island Site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McDonald's Plan for Former Buffet Island Site Faces Objections</w:t>
      </w:r>
      <w:r/>
    </w:p>
    <w:p>
      <w:r/>
      <w:r>
        <w:t>A proposal to convert the closed Buffet Island restaurant on Queslett Road in Great Barr into a McDonald’s drive-thru has drawn significant opposition. Walsall Council's planning committee will discuss the application on June 20, 2024. The proposal has received 110 individual objections citing concerns such as increased rubbish, anti-social behavior, traffic congestion, pedestrian safety, noise, and air quality.</w:t>
      </w:r>
      <w:r/>
    </w:p>
    <w:p>
      <w:r/>
      <w:r>
        <w:t>The former Buffet Island closed in 2020, leaving the site vacant. McDonald's plans include new facilities like 46 parking spaces, a bike stand, a children's play area, and electric charging points, potentially bringing 120 jobs to the area. The council's report states the development would not harm the environment or traffic safety, subject to conditions. Some community members support the plan, stating it would revitalize the neglected site.</w:t>
      </w:r>
      <w:r/>
    </w:p>
    <w:p>
      <w:r/>
      <w:r>
        <w:rPr>
          <w:b/>
        </w:rPr>
        <w:t>Joint Committee Formed to Oversee Celtic Freeport</w:t>
      </w:r>
      <w:r/>
    </w:p>
    <w:p>
      <w:r/>
      <w:r>
        <w:t>Neath Port Talbot Council and Pembrokeshire Council have agreed to establish a joint committee to oversee the Celtic Freeport project. The plan, approved earlier this year, could bring up to £5.5 billion in investment and 16,000 jobs to South West Wales, focusing on a new freeport and a large offshore floating wind farm in the Celtic Sea.</w:t>
      </w:r>
      <w:r/>
    </w:p>
    <w:p>
      <w:r/>
      <w:r>
        <w:t>The council committee, consisting of six members from both councils, will ensure democratic accountability for the project's public funding. The committee will have the authority to approve or reject proposals, ensuring compliance with subsidy control regulations and value for money. The initiative follows the appointment of Luciana Ciubotariu as the first CEO of the Celtic Freeport.</w:t>
      </w:r>
      <w:r/>
    </w:p>
    <w:p>
      <w:r/>
      <w:r>
        <w:rPr>
          <w:b/>
        </w:rPr>
        <w:t>Summer Cost of Living Payments to Support Struggling Families</w:t>
      </w:r>
      <w:r/>
    </w:p>
    <w:p>
      <w:r/>
      <w:r>
        <w:t>This summer, cost of living payments up to £550 will be disbursed to millions of families through the Household Support Fund (HSF). Administered by local councils, the payments aim to assist those struggling to afford essentials. The method of distribution will vary, including direct bank deposits, council tax discounts, and food vouchers, with specifics set by each local authority.</w:t>
      </w:r>
      <w:r/>
    </w:p>
    <w:p>
      <w:r/>
      <w:r>
        <w:t>Eligibility typically requires recipients to be on some form of benefits, and payments are expected to be completed by September 2024, contingent on the availability of funds. For detailed information, residents should consult their local council's Household Support Fund web page.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