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Forth Green Freeport Launches with £7 Billion Investment Goal and Green Job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Forth Green Freeport Opens with Ambitious Investment Goals</w:t>
      </w:r>
      <w:r/>
    </w:p>
    <w:p>
      <w:r/>
      <w:r>
        <w:t xml:space="preserve">Forth Green Freeport officially launched on June 12, 2024, aiming to attract £7 billion in investment over the next decade and create approximately 19,000 jobs. The freeport spans both sides of the Forth estuary, including Burntisland, Rosyth, and Grangemouth, offering a suite of financial incentives to businesses. </w:t>
      </w:r>
      <w:r/>
    </w:p>
    <w:p>
      <w:r/>
      <w:r>
        <w:t xml:space="preserve">The designated tax sites — Mid-Forth (Burntisland and Leith), Grangemouth, and Rosyth — will prioritize industries such as offshore wind, hydrogen, sustainable fuels, modular manufacturing, and logistics. </w:t>
      </w:r>
      <w:r/>
    </w:p>
    <w:p>
      <w:r/>
      <w:r>
        <w:t>Businesses can avail themselves of tax breaks if they adhere to specific investment principles, which include compliance with worker’s rights and environmental regulations. Dame Susan Rice, the project's independent chair, emphasized the creation of quality, green jobs and the protection of worker’s rights, including adherence to the real living wage. The Scottish Trades Union Congress (STUC) will nominate a worker representative to the board.</w:t>
      </w:r>
      <w:r/>
    </w:p>
    <w:p>
      <w:r/>
      <w:r>
        <w:t>Local councils from Fife, Edinburgh, and Falkirk will also have representation on the board. The goal is to ensure strong governance and that the benefits of the freeport are felt by local communities.</w:t>
      </w:r>
      <w:r/>
    </w:p>
    <w:p>
      <w:r/>
      <w:r>
        <w:t>The sites at Burntisland and Rosyth will focus on offshore wind components, while Rosyth’s Babcock yard will engage in innovative shipbuilding and modular manufacturing. The Royal Navy base HMS Caledonia, now included in the freeport area, and other sites are expected to help achieve Scotland's net-zero targets through various green initiatives.</w:t>
      </w:r>
      <w:r/>
    </w:p>
    <w:p>
      <w:r/>
      <w:r>
        <w:t>In total, the freeport aims to generate Gross Value Added (GVA) of £8.4 billion and up to 38,350 jobs over the next decade, directly influencing the economic landscape of central Scotland.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