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Manifesto Unveiled with Emphasis on Tax Reforms and Housing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Green Party of England and Wales launched its general election manifesto today in Brighton, detailing plans to address housing, taxation, and public services.</w:t>
      </w:r>
      <w:r/>
    </w:p>
    <w:p>
      <w:r/>
      <w:r>
        <w:t>The manifesto, presented by co-leaders Carla Denyer and Adrian Ramsay, focuses on significant tax reforms, including a wealth tax. The proposed wealth levy would begin at 1% for individuals with assets over £10 million, increasing to 2% for those with assets above £1 billion. Additionally, capital gains tax would align with income tax, and higher earners would face increased national insurance rates.</w:t>
      </w:r>
      <w:r/>
    </w:p>
    <w:p>
      <w:r/>
      <w:r>
        <w:t>Housing commitments include introducing rent controls, ending the right to buy system for social properties, and a £49 billion investment over five years to improve insulation in homes and public buildings. The Greens also propose allowing local authorities to requisition empty or poorly insulated properties to address housing shortages.</w:t>
      </w:r>
      <w:r/>
    </w:p>
    <w:p>
      <w:r/>
      <w:r>
        <w:t>The manifesto outlines substantial public spending, promising £50 billion annually on health and social care by 2030. Infrastructure investments, such as upgrades for GP surgeries, schools, and transport, are also highlighted.</w:t>
      </w:r>
      <w:r/>
    </w:p>
    <w:p>
      <w:r/>
      <w:r>
        <w:t>Denyer and Ramsay criticized the major parties, Labour and the Conservatives, for avoiding discussions on necessary tax reforms to fund public services. The Greens target younger and traditional Labour voters, promising to push a potential Labour government towards more ambitious reforms.</w:t>
      </w:r>
      <w:r/>
    </w:p>
    <w:p>
      <w:r/>
      <w:r>
        <w:t>The manifesto launch marks the Greens' effort to gain significant electoral ground, particularly focusing on seats in Brighton Pavilion and Bristol Central.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