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NCCC Summit Highlights Importance of Community Investment in Higher Education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North Country Community College (NCCC) hosted a summit titled “Higher Education at a Crossroads: Blazing a New Path Forward for North Country Community College” on June 4, 2023. The event took place at NCCC’s Saranac Lake campus and saw the participation of over 60 stakeholders, including local education and workforce partners, key employers, elected officials, donors, and college faculty and staff.</w:t>
      </w:r>
      <w:r/>
    </w:p>
    <w:p>
      <w:r/>
      <w:r>
        <w:t>John Merrow, president of Learning Matters and a retired PBS Newshour correspondent, delivered the keynote address, emphasizing the value of community colleges. The summit featured panel discussions aimed at strengthening partnerships to benefit North Country residents and included presentations on regional workforce data and the college's current offerings. NCCC President Joe Keegan highlighted the importance of community investment in higher education and the crucial role of partnerships in achieving the college’s mission.</w:t>
      </w:r>
      <w:r/>
    </w:p>
    <w:p>
      <w:r/>
      <w:r>
        <w:t>Additionally, the Times Higher Education (THE) Impact Rankings 2024 were announced, assessing universities based on the United Nations’ Sustainable Development Goals (SDGs). The University of Bristol entered the rankings for the first time, placing 92nd globally, with notable performances in SDG 12 (responsible consumption and production), SDG 17 (partnerships for the goals), and SDG 11 (sustainable cities and communities).</w:t>
      </w:r>
      <w:r/>
    </w:p>
    <w:p>
      <w:r/>
      <w:r>
        <w:t>Stirling University also achieved significant rankings, being in the top 20 globally for SDG 2 (Zero Hunger), SDG 10 (Reduced Inequalities), and SDG 11 (Sustainable Cities and Communities). Furthermore, Australian universities dominated SDG 6 (clean water and sanitation), while South Korean institutions led in SDG 8 (decent work and economic growth).</w:t>
      </w:r>
      <w:r/>
    </w:p>
    <w:p>
      <w:r/>
      <w:r>
        <w:t>The THE Impact Rankings continue to highlight the variable progress of universities worldwide towards sustainable development, recognizing areas of excellence and the contributions of institutions in promoting global sustainability.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