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Summit Explores Enhancements for North Country Community College's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Summit Explores Enhancements for North Country Community College's Role</w:t>
      </w:r>
      <w:r/>
    </w:p>
    <w:p>
      <w:r/>
      <w:r>
        <w:rPr>
          <w:b/>
        </w:rPr>
        <w:t>Saranac Lake, June 4, 2023</w:t>
      </w:r>
      <w:r>
        <w:t xml:space="preserve"> – North Country Community College (NCCC) hosted a day-long summit at its Saranac Lake campus, bringing together over 60 participants, including local leaders, education and workforce partners, key employers, elected officials, donors, faculty, and staff. The event, titled “Higher Education at a Crossroads: Blazing a New Path Forward for North Country Community College,” aimed to discuss the college's value to students and communities and address regional challenges and opportunities. </w:t>
      </w:r>
      <w:r/>
    </w:p>
    <w:p>
      <w:r/>
      <w:r>
        <w:t>John Merrow, president of Learning Matters and a retired PBS Newshour correspondent and NPR reporter, delivered the keynote, emphasizing the importance of community colleges in fostering educated citizens. This was followed by panel discussions and a presentation on regional workforce data by state Labor Market Analyst Konstanin Sikhaou. NCCC President Joe Keegan highlighted the invaluable community support and the vital role of partnerships in the college’s success, noting the necessity for ongoing collaborative efforts.</w:t>
      </w:r>
      <w:r/>
    </w:p>
    <w:p>
      <w:r/>
      <w:r>
        <w:rPr>
          <w:b/>
        </w:rPr>
        <w:t>University of Bristol and University of Stirling Achieve High Ranks in THE Impact Rankings</w:t>
      </w:r>
      <w:r/>
    </w:p>
    <w:p>
      <w:r/>
      <w:r>
        <w:rPr>
          <w:b/>
        </w:rPr>
        <w:t>Global, 2024</w:t>
      </w:r>
      <w:r>
        <w:t xml:space="preserve"> – The Times Higher Education (THE) Impact Rankings 2024 assessed universities against the United Nations' Sustainable Development Goals (SDGs). This year, the University of Bristol entered the rankings for the first time, placing 92nd globally and excelling in SDGs related to responsible consumption, partnerships, and sustainable cities.</w:t>
      </w:r>
      <w:r/>
    </w:p>
    <w:p>
      <w:r/>
      <w:r>
        <w:t>Professor Palie Smart of Bristol highlighted the ranking as recognition of their commitment to addressing global challenges and fostering civic impact. Professor Michele Acuto emphasized the university's role in local and global SDG advancements.</w:t>
      </w:r>
      <w:r/>
    </w:p>
    <w:p>
      <w:r/>
      <w:r>
        <w:t>The University of Stirling also performed strongly, ranking in the top 100 for ten SDGs, placing particularly high in Zero Hunger, Reduced Inequalities, and Sustainable Cities and Communities. Principal Sir Gerry McCormac credited the success to the dedication of staff and students, reinforcing the university's commitment to sustainable solutions for global challenges.</w:t>
      </w:r>
      <w:r/>
    </w:p>
    <w:p>
      <w:r/>
      <w:r>
        <w:t>Both universities' achievements underscore their contributions to promoting sustainability through research, teaching, community engagement, and operational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