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Bristol Achieves Notable Global Ranking in THE Impact Rankings for Sustainable Development Goals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University of Bristol has achieved a notable ranking in its first entry into the Times Higher Education (THE) Impact Rankings, securing the 92nd spot globally in the 2024 list. This ranking evaluates over 2,000 universities worldwide based on their contributions to the United Nations’ 17 Sustainable Development Goals (SDGs).</w:t>
      </w:r>
      <w:r/>
    </w:p>
    <w:p>
      <w:r/>
      <w:r>
        <w:t>In addition, Bristol ranked 27th globally for SDG 12 'responsible consumption and production', 40th for SDG 17 'partnerships for the goals', and 45th for SDG 11 'sustainable cities and communities'. Within the UK, it placed 8th for SDG 11, 9th for SDG 2 'zero hunger', and 10th for SDG 1 'no poverty'.</w:t>
      </w:r>
      <w:r/>
    </w:p>
    <w:p>
      <w:r/>
      <w:r>
        <w:t>These accolades align with the University of Bristol’s strategic ambition of being a global civic university. Prof Palie Smart, Associate Pro Vice-Chancellor for Global Civic Engagement, and Prof Michele Acuto, Pro Vice-Chancellor for Global Engagement, highlighted the institutional commitments and collaborations driving these achievements.</w:t>
      </w:r>
      <w:r/>
    </w:p>
    <w:p>
      <w:r/>
      <w:r>
        <w:t>The University of Bristol’s ranking in THE Impact Rankings follows its recognition by QS as the 54th best university globally and 17th most sustainable. The Complete University Guide also placed 30 Bristol subjects in the top 10 of their fields in the UK.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