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Manifesto: Halting New Oil and Gas Licences for North Sea to Establish UK as Clean Energy Superpower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 Party's recent manifesto reveals plans to halt the issuance of new oil and gas licences for the North Sea as part of its commitment to establishing the UK as a "clean energy superpower." Key components of the plan include the creation of 650,000 green jobs, reduction of energy bills, and ensuring energy independence.</w:t>
      </w:r>
      <w:r/>
    </w:p>
    <w:p>
      <w:r/>
      <w:r>
        <w:t>The manifesto highlights a £8.3 billion investment in the state-owned Great British Energy company, aiming to propel clean energy initiatives. Labour pledges to double onshore wind capacity, triple solar power, and quadruple offshore wind capacity. Additionally, the party supports the development of new nuclear facilities, carbon capture and storage, hydrogen, and marine energy.</w:t>
      </w:r>
      <w:r/>
    </w:p>
    <w:p>
      <w:r/>
      <w:r>
        <w:t>Labour asserts that the decision not to issue new oil and gas licences is based on the belief that such licences will not lower energy bills or enhance energy security, but instead exacerbate climate change. However, existing licences will remain unaffected to protect jobs in the North Sea region.</w:t>
      </w:r>
      <w:r/>
    </w:p>
    <w:p>
      <w:r/>
      <w:r>
        <w:t>The clean energy transition will be partly funded by closing loopholes in the windfall tax on oil and gas companies. Labour also plans to allocate £13.2 billion to double funding for home insulation and low-carbon heating over the next parliamentary term, intending to grant Ofgem more authority to safeguard consumers and set minimum energy efficiency standards for private rentals.</w:t>
      </w:r>
      <w:r/>
    </w:p>
    <w:p>
      <w:r/>
      <w:r>
        <w:t>The party further commits to environmental targets aligned with the Environment Act, including the creation of three new national forests, the planting of millions of trees, and the expansion of wetlands and peat bogs. Other promises include supporting British farmers, improving local food standards, and fostering nature-friendly farming practices.</w:t>
      </w:r>
      <w:r/>
    </w:p>
    <w:p>
      <w:r/>
      <w:r>
        <w:t>Despite some support from environmental groups, criticism has arisen from the Unite union, Countryside Alliance, and other rural and energy stakeholders. They express concerns over potential job losses and the impact on the rural community and energy security. Labour has countered by stating the need for a balanced investment environment to achieve these ambitious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