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Party's £4.7 Billion Green Policy Funding and Initiatives Announced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Labour Party Announces Green Policy Funding and Initiatives</w:t>
      </w:r>
      <w:r/>
    </w:p>
    <w:p>
      <w:r/>
      <w:r>
        <w:t xml:space="preserve">The Labour Party has declared it will borrow £3.5 billion annually to support energy and climate change initiatives, announced during its manifesto launch. This borrowing is part of their self-imposed “fiscal rules” aimed at reducing national debt relative to the wider economy within five years. </w:t>
      </w:r>
      <w:r/>
    </w:p>
    <w:p>
      <w:r/>
      <w:r>
        <w:t xml:space="preserve">The funds, combined with a proposed £1.2 billion windfall tax on oil and gas firms like Shell and BP, will generate a total of £4.7 billion yearly for green policies. This includes £1.7 billion per year for the establishment of a government-owned energy investment company named Great British Energy. </w:t>
      </w:r>
      <w:r/>
    </w:p>
    <w:p>
      <w:r/>
      <w:r>
        <w:t xml:space="preserve">Additional investments include the £1.1 billion annual Warm Homes Plan aimed at providing homeowners with grants and low-interest loans for insulation and solar panels. The manifesto also specifies investments in low carbon heating systems, though it did not mandate the immediate removal of existing gas boilers. </w:t>
      </w:r>
      <w:r/>
    </w:p>
    <w:p>
      <w:r/>
      <w:r>
        <w:t>Labour's policies also include a commitment not to issue new licences for North Sea oil and gas fields and focus on renewable energy projects like offshore wind farms. This stance has drawn reactions from various stakeholders, including support from environmental campaigners and concerns from the Countryside Alliance and the offshore energy sector about job impacts and investment conditions.</w:t>
      </w:r>
      <w:r/>
    </w:p>
    <w:p>
      <w:r/>
      <w:r>
        <w:t>Energy regulator Ofgem mentioned that average energy bills might decrease by 7% in the summer but could rise again in winter with fluctuating gas prices. Observers like Lizzy Galbraith of Abrdn noted Labour's shift towards leveraging private sector investments in renewable projects.</w:t>
      </w:r>
      <w:r/>
    </w:p>
    <w:p>
      <w:r/>
      <w:r>
        <w:t>Regarding broader green initiatives, Labour proposed doubling funding for insulation and low carbon heating to £13.2 billion in the next parliament and reiterated a commitment to not issuing new oil and gas licences to address climate concerns.</w:t>
      </w:r>
      <w:r/>
    </w:p>
    <w:p>
      <w:r/>
      <w:r>
        <w:t>Overall, the Labour Party aims to use these measures to enhance energy security and create green jobs while addressing the climate crisis.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