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North East leaders invest £18 million in zero-emission buses, Bristol sees new developments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North East leaders have approved an £18 million investment for 95 new zero-emission buses. This project, backed by Mayor Kim McGuinness and the North East Combined Authority (NECA), aims to make 10% of the region’s buses emission-free by 2025. Funding comprises £10.25 million from the Levelling Up Fund and £7.4 million from the Department for Transport's ZEBRA programme. Additionally, £2.1 million will be allocated for 92 new electric vehicle charging points. </w:t>
      </w:r>
      <w:r/>
    </w:p>
    <w:p>
      <w:r/>
      <w:r>
        <w:t>Meanwhile, Bristol is seeing several developments, including new housing and community projects. Plans have been submitted to demolish the former SF Tebby &amp; Son garage in Redland to make way for nine homes. New facilities are also proposed, such as a fitness gym in Brislington and an extended youth services hub at Southmead Development Trust’s Greenway Centre.</w:t>
      </w:r>
      <w:r/>
    </w:p>
    <w:p>
      <w:r/>
      <w:r>
        <w:t>In Clifton, stabilisation work will begin on a section of Queens Avenue from June 17, due to a disused cellar's poor condition. This five-week project is a collaboration between Bristol City Council and the University of Bristol.</w:t>
      </w:r>
      <w:r/>
    </w:p>
    <w:p>
      <w:r/>
      <w:r>
        <w:t>Additionally, the Bristol Zoo Project in Easter Compton will invest £2 million in transport improvements. This is part of a broader plan to enhance the zoo with new habitats, including the Central African Forest, and a Conservation Campus focusing on education and conservation efforts. The zoo aims to increase its number of endangered species, emphasising its commitment to biodiversity.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