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Barclays and Hometree's £250 Million Financing Boost for Renewable Energy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Barclays and Hometree Partner on £250 Million Renewable Energy Financing</w:t>
      </w:r>
      <w:r/>
    </w:p>
    <w:p>
      <w:r/>
      <w:r>
        <w:t xml:space="preserve">Hometree, a UK-based residential energy services provider, has secured £250 million from Barclays to support the financing of solar panels, battery systems, and heat pumps for homeowners. The financial package does not require an initial deposit and is designed to make renewable energy installations more accessible by offering long-term loans and leases. </w:t>
      </w:r>
      <w:r/>
    </w:p>
    <w:p>
      <w:r/>
      <w:r>
        <w:t>This partnership follows Hometree’s recent acquisition spree, backed by investors such as BlackRock and Legal &amp; General Investment Management (LGIM). The funds will finance approximately 28,000 renewable energy systems over the next two years, with plans to refinance through a green bond. Simon Phelan, CEO of Hometree, highlighted the deal as a significant step for solar securitisation in the UK, aiming to attract public capital market investments.</w:t>
      </w:r>
      <w:r/>
    </w:p>
    <w:p>
      <w:r/>
      <w:r>
        <w:t>Residential solar power in the UK is experiencing a resurgence due to decreasing panel costs and higher energy prices in Europe. Despite the renewed interest, challenges such as high electricity costs and a shortage of skilled installers persist. The financing arrangement aims to address some of these barriers by providing affordable payment plans, potentially reducing monthly energy bills from the outset.</w:t>
      </w:r>
      <w:r/>
    </w:p>
    <w:p>
      <w:r/>
      <w:r>
        <w:t>This initiative comes at a time when consumer interest in renewable energy systems is at an all-time high, with record-breaking installations noted in 2023. However, upfront costs for such systems remain a barrier for many households. The partnership between Barclays and Hometree aims to alleviate these financial hurdles and promote the adoption of green technologies across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