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Barclays suspends music festival sponsorships amid protests over defense sector 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Barclays has suspended its sponsorship of the Live Nation music festivals Download, Latitude, and Isle of Wight for 2024, following protests from bands and fans. This decision was made after numerous artists objected to Barclays’ financial services to defense companies supplying Israel.</w:t>
      </w:r>
      <w:r/>
    </w:p>
    <w:p>
      <w:r/>
      <w:r>
        <w:t>Latitude Festival announced the termination of its sponsorship agreement with Barclays, a decision echoed by Live Nation, the organizer of the festivals.</w:t>
      </w:r>
      <w:r/>
    </w:p>
    <w:p>
      <w:r/>
      <w:r>
        <w:t>Musicians such as Joanne McNally and bands including Pest Control and Ithaca were among those who opted out of performing due to the sponsorship.</w:t>
      </w:r>
      <w:r/>
    </w:p>
    <w:p>
      <w:r/>
      <w:r>
        <w:t>Palestine Action, a protest group, had targeted Barclays in recent months, leading to vandalism, including smashing windows and throwing red paint at multiple branches across the UK. The group Bands Boycott Barclays, part of the larger Boycott, Divestment, Sanctions (BDS) movement, claimed this as a significant victory.</w:t>
      </w:r>
      <w:r/>
    </w:p>
    <w:p>
      <w:r/>
      <w:r>
        <w:t>While Barclays asserted their commitment to providing essential services to defense sectors, they confirmed that festival-goers with tickets would not be affected. Protesters argue that Barclays' financial ties to defense firms and fossil fuel investments are unethical.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