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Liberty Global Acquires Majority Stake in Formula E, Signals Growth for All-Electric Racing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Liberty Global has acquired a controlling 65% stake in the Formula E all-electric motor racing series by purchasing shares from Warner Bros. Discovery (WBD). The deal is pending regulatory approval, expected by the end of 2024. This acquisition increases Liberty Global's prior stake from 35%. Formula E, now into its 10th season, features major automobile brands like Jaguar, Porsche, and McLaren.</w:t>
      </w:r>
      <w:r/>
    </w:p>
    <w:p>
      <w:r/>
      <w:r>
        <w:t>WBD will continue to broadcast Formula E in 50 European markets under a multi-year deal. Jeff Dodds, Formula E's CEO, expressed enthusiasm about Liberty Global's involvement, citing their expertise and resources as crucial for the sport's expected growth.</w:t>
      </w:r>
      <w:r/>
    </w:p>
    <w:p>
      <w:r/>
      <w:r>
        <w:t>Mike Fries, CEO of Liberty Global, emphasized the substantial growth potential and sustainability standards of Formula E. Liberty Global has a history of investing in motorsports, with its separation from Liberty Media, the owner of Formula 1 and MotoGP, dating back to 2005.</w:t>
      </w:r>
      <w:r/>
    </w:p>
    <w:p>
      <w:r/>
      <w:r>
        <w:t>Formula E, which is FIA-sanctioned, recently announced a record 17-race calendar for its 11th season, including new locations like Miami and Monaco.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