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to Advocate for Sustainable Development and AI at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will urge G7 leaders to unlock funding for sustainable development and embrace artificial intelligence (AI) at the G7 summit in Italy. Sunak plans to announce over £100 million in funding, including a £20 million expansion of an AI development scheme into Asia.</w:t>
      </w:r>
      <w:r/>
    </w:p>
    <w:p>
      <w:r/>
      <w:r>
        <w:t>During sessions focused on AI, energy, Africa, and the Mediterranean, Sunak will advocate for reforms in the international financial system to accelerate sustainable development goals and amplify the voices of vulnerable populations. He asserts that the UK's commitment to a more effective international system aims to improve lives globally and at home.</w:t>
      </w:r>
      <w:r/>
    </w:p>
    <w:p>
      <w:r/>
      <w:r>
        <w:t>The funding package includes £57 million for the Climate Compatible Growth programme, aimed at enhancing climate-resilient infrastructure in sub-Saharan Africa and Asia. Up to £35 million will support the Alliance for Green Infrastructure in Africa to boost sustainable infrastructure investment. Additionally, a partnership with the World Bank and the EU will provide £15 million for the Zambian side of the Zambia-Tanzania Interconnector project to link power supplies in southern and eastern Africa.</w:t>
      </w:r>
      <w:r/>
    </w:p>
    <w:p>
      <w:r/>
      <w:r>
        <w:t>Further funding includes £500,000 for green infrastructure planning between the UK, Kenya, and the G7 and £300,000 for geological mapping in Angola by the British Geological Survey. The AI for Development programme, launched at the Bletchley Park AI Safety Summit in November 2023, will support safe AI projects starting in Africa. This initiative, in partnership with Canada and supported by the US, Australia, and others, aims to make AI technology accessible worldwide and establish training labs for the next generation.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