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 Risks in Bedrooms Highlighted by Experts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Concerns Over Harmful Bacteria in Bedrooms</w:t>
      </w:r>
      <w:r/>
    </w:p>
    <w:p>
      <w:r/>
      <w:r>
        <w:t>Experts from MattressNextDay have highlighted potential health risks associated with poor sleep hygiene. They warn that common bacteria like E. Coli, staphylococcus aureus, and 10 million dust mites could be present in mattresses, possibly leading to skin infections and pneumonia. Four key habits to improve sleep hygiene include airing your bed for 30 minutes daily, changing bedding weekly, avoiding eating and drinking in bed, wearing loose-fitting underwear, and showering before bedtime if you sweat a lot. These measures aim to minimize bacterial growth and improve overall sleep quality.</w:t>
      </w:r>
      <w:r/>
    </w:p>
    <w:p>
      <w:pPr>
        <w:pStyle w:val="Heading3"/>
      </w:pPr>
      <w:r>
        <w:t>Wales Reports Mixed Outcomes from New 20mph Speed Limit</w:t>
      </w:r>
      <w:r/>
    </w:p>
    <w:p>
      <w:r/>
      <w:r>
        <w:t>Initial crash statistics following the implementation of a new 20mph default speed limit in Wales show mixed results. Data from the final quarter of 2023 indicate a decrease in overall collisions and casualties compared to the previous year. However, there was an increase in fatalities and serious injuries. North Wales, in particular, saw eight fatalities in Q4 2023, the highest in five years. While collisions on 20mph and 30mph roads decreased, crashes on higher-speed roads increased. Authorities are closely monitoring the impact and effectiveness of the speed limit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