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Rachel Reeves Unveils £7.3 Billion Green Investment Plan Ahead of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Shadow Chancellor Rachel Reeves has announced new details on Labour's £7.3 billion green investment vehicle, which aims to create over 650,000 jobs. The funding will be distributed among various sectors, including ports, gigafactories, clean steel, carbon capture, and green hydrogen. The plan also includes targeted investments in home insulation and other green energy initiatives to attract significant private capital.</w:t>
      </w:r>
      <w:r/>
    </w:p>
    <w:p>
      <w:r/>
      <w:r>
        <w:t>This announcement comes as Labour gears up for the General Election set for July 4, 2024, with polling suggesting a potential landslide victory for the party. Reeves emphasizes a collaborative approach with the private sector to stimulate the UK’s industrial areas. She will also host a breakfast meeting with the "shadow" British Infrastructure Council to discuss Labour's economic strategy. Key figures from financial institutions such as Lloyds Banking Group, Santander, and M&amp;G will attend.</w:t>
      </w:r>
      <w:r/>
    </w:p>
    <w:p>
      <w:r/>
      <w:r>
        <w:t>The campaign is set against the backdrop of Labour's commitment to improving UK-EU trade relations by revising aspects of the Brexit deal, aiming for closer alignment in specific industries and mutual recognition of professional qualifications. Reeves is determined to foster economic growth while assuring no significant tax hikes beyond what has been previously announced.</w:t>
      </w:r>
      <w:r/>
    </w:p>
    <w:p>
      <w:r/>
      <w:r>
        <w:t>Reeves plans to use the proposed National Wealth Fund to leverage additional private investment, proposing a target of attracting three times the amount of invested public funds. This initiative is part of Labour’s broader commitment to transforming the UK's economy and addressing climate change through substantial green investments.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