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Peter Dutton Maintains Secrecy on Coalition's Nuclear Energy Policy, Promises March Disclosure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Federal Opposition Leader Peter Dutton has maintained a refusal to disclose specific details regarding the Coalition's nuclear energy policy. This stance was highlighted during an interview on Sky's "Sunday Agenda" with host Andrew Clennell. Dutton was pressed to reveal the locations and costs associated with six proposed nuclear power plants but remained non-committal, stating that details would be revealed in March.</w:t>
      </w:r>
      <w:r/>
    </w:p>
    <w:p>
      <w:r/>
      <w:r>
        <w:t>Dutton indicated that potential sites for the nuclear power plants include areas with end-of-life coal-fired power stations. Possible locations speculated include the Latrobe Valley and Anglesea in Victoria, the Hunter Valley in New South Wales, Collie in Western Australia, Port Augusta in South Australia, and Maranoa in Queensland.</w:t>
      </w:r>
      <w:r/>
    </w:p>
    <w:p>
      <w:r/>
      <w:r>
        <w:t>A recent report by the CSIRO mentioned that building a large-scale nuclear power plant in Australia would cost at least $8.5 billion and take around 15 years to complete. When questioned about government subsidies for these plants, Dutton noted that all energy sources, other than coal, received public funding.</w:t>
      </w:r>
      <w:r/>
    </w:p>
    <w:p>
      <w:r/>
      <w:r>
        <w:t>Additionally, Dutton reiterated his opposition to a legislated 2030 carbon emissions target, focusing instead on economic concerns and stating plans to evaluate a 2035 target based on Treasury advice. His position has drawn criticism from Trade Minister Don Farrell and others, who argue that it undermines Australia's climate commitments and international standing.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