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Peter Dutton Surpasses Anthony Albanese in Preferred Prime Minister Poll Amid Labor's Declining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Peter Dutton Edges Out Anthony Albanese as Preferred Prime Minister Amid Dropping Support for Labor</w:t>
      </w:r>
      <w:r/>
    </w:p>
    <w:p>
      <w:r/>
      <w:r>
        <w:t>In a recent Resolve Political Monitor poll conducted for the Sydney Morning Herald, Opposition Leader Peter Dutton has surpassed Prime Minister Anthony Albanese as the preferred prime minister for the first time. Dutton secured 36% of voter support, narrowly edging out Albanese, who received 35%.</w:t>
      </w:r>
      <w:r/>
    </w:p>
    <w:p>
      <w:r/>
      <w:r>
        <w:t>Respondents generally showed disapproval of Albanese's performance in office, with 50% rating it poorly compared to 36% who thought he was doing a good job. Conversely, 42% praised Dutton's performance, against 40% who rated it negatively.</w:t>
      </w:r>
      <w:r/>
    </w:p>
    <w:p>
      <w:r/>
      <w:r>
        <w:t>The poll also indicated a decline in support for the Labor Party, whose primary vote dipped to a three-year low of 28%. The Coalition's support held steady at 36%. Key issues such as the economy and national security showed stronger voter confidence in Dutton and the Coalition, with 40% and 42% respectively preferring their approach over Albanese's.</w:t>
      </w:r>
      <w:r/>
    </w:p>
    <w:p>
      <w:r/>
      <w:r>
        <w:t>Support for managing the cost of living was another critical area where Dutton led with 32%, compared to Albanese's 25%. This comes as 54% of voters identified keeping the cost of living low as their most important policy issue.</w:t>
      </w:r>
      <w:r/>
    </w:p>
    <w:p>
      <w:r/>
      <w:r>
        <w:t>Separately, in the context of the broader political landscape, Climate 200, a major fundraising entity that supports independent candidates, announced their backing for campaigns in nine additional Coalition-held seats. These include electorates in Queensland, New South Wales, and Victoria. The group aims to support 30 campaigns in the upcoming election, driven by dissatisfaction with the major party duopoly.</w:t>
      </w:r>
      <w:r/>
    </w:p>
    <w:p>
      <w:r/>
      <w:r>
        <w:t>At the last election, Climate 200-backed candidates were successful in six electorates previously held by Liberal MPs, while independent David Pocock secured a senate seat for the Australian Capital Territory.</w:t>
      </w:r>
      <w:r/>
    </w:p>
    <w:p>
      <w:r/>
      <w:r>
        <w:t>The new polling data and strategic supports indicate shifting political dynamics as the next federal election approaches.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