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Innovations in Recycling Practices in the US and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Recycling Challenges and Efforts in the US and UK Innovators</w:t>
      </w:r>
      <w:r/>
    </w:p>
    <w:p>
      <w:pPr>
        <w:pStyle w:val="Heading4"/>
      </w:pPr>
      <w:r>
        <w:t>Recycling in the US</w:t>
      </w:r>
      <w:r/>
    </w:p>
    <w:p>
      <w:r/>
      <w:r>
        <w:t>Recycling is an essential environmental practice aimed at reducing landfill waste and conserving resources. However, recycling rates in the United States have plateaued, with only 10% of plastics being effectively recycled. Contamination of recyclable materials significantly adds to the cost and labor required at sorting plants, contributing to inefficiencies.</w:t>
      </w:r>
      <w:r/>
    </w:p>
    <w:p>
      <w:r/>
      <w:r>
        <w:t>Metal recycling, such as aluminum, remains advantageous due to its economic and environmental benefits. Conversely, plastics pose complexities due to varying compositions, leading to difficulties in sorting and downcycling into less recyclable products. Globally, some nations, including three dozen in Africa, have banned single-use plastics to address this issue.</w:t>
      </w:r>
      <w:r/>
    </w:p>
    <w:p>
      <w:pPr>
        <w:pStyle w:val="Heading4"/>
      </w:pPr>
      <w:r>
        <w:t>Aldi’s Initiatives in the UK</w:t>
      </w:r>
      <w:r/>
    </w:p>
    <w:p>
      <w:r/>
      <w:r>
        <w:t>Aldi, the UK’s fourth-largest supermarket, has introduced recycled plastic packaging in its own-label crisps, claiming a supermarket first. This initiative, which ensures 35% recycled content in its Hand Cooked range, aims to reduce the use of virgin plastic by 78 tonnes annually. The supermarket chain plans to extend this practice to its popcorn and lentil chip lines by the end of 2024.</w:t>
      </w:r>
      <w:r/>
    </w:p>
    <w:p>
      <w:r/>
      <w:r>
        <w:t>Aldi has also committed to refurbishing over 30 stores this summer, with a £90 million investment aimed at enhancing the shopping experience and reducing environmental impacts. Upgrades include more sustainable features, such as fridge doors to cut energy use and natural refrigerants to lower carbon emissions, affecting stores in regions like Birmingham, Brierley Hill, and Newport.</w:t>
      </w:r>
      <w:r/>
    </w:p>
    <w:p>
      <w:r/>
      <w:r>
        <w:t>Both stories illustrate ongoing efforts and challenges in improving recycling systems and reducing plastic waste.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