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Lab-Grown Burgers and Cricket Salads Could be Dietary Staples by 2054, Says University of York Researchers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Lab-grown burgers and cricket salads could become dietary staples by 2054, according to researchers from the University of York’s FixOurFood programme. The study suggests a growing shift towards sustainable food options, including lab-cultured meat and insect-based proteins, which could help reduce emissions, land use, and water consumption.</w:t>
      </w:r>
      <w:r/>
    </w:p>
    <w:p>
      <w:r/>
      <w:r>
        <w:t>Bob Doherty, director of FixOurFood and dean of the School for Business and Society at the University of York, highlighted the potential for innovations like lab-grown meat, vertical farming, and 3D-printed food to reshape diets amidst climate change challenges. Traditional methods like pickling and fermenting locally-sourced, seasonal produce are expected to gain popularity.</w:t>
      </w:r>
      <w:r/>
    </w:p>
    <w:p>
      <w:r/>
      <w:r>
        <w:t>A survey for Co-op’s Responsible Retailing Report, polling around 70,000 people since 1994, reveals that 72% of consumers are increasingly concerned about ethical and sustainable food. However, only 54% are willing to pay more for such products, down from 62% in 1994. Other key findings include a rise in fruit and vegetable consumption and an emphasis on British-sourced and recyclable packaging.</w:t>
      </w:r>
      <w:r/>
    </w:p>
    <w:p>
      <w:r/>
      <w:r>
        <w:t>Cathryn Higgs, Co-op’s head of ethics, sustainability, and policy, affirmed the commitment to responsibly sourced food and reducing emissions, aiming for a 66% reduction in operational emissions by 2030.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