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Transport Capital Hires Norwegian Expert to Lead Scandinavian Ship Finance Sector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Maritime Financial Sector Developments</w:t>
      </w:r>
      <w:r/>
    </w:p>
    <w:p>
      <w:pPr>
        <w:pStyle w:val="Heading3"/>
      </w:pPr>
      <w:r>
        <w:t>Transport Capital Expands into Scandinavian Market</w:t>
      </w:r>
      <w:r/>
    </w:p>
    <w:p>
      <w:r/>
      <w:r>
        <w:t>Transport Capital, headquartered in Singapore, has hired Norwegian ship finance expert Tom Kjeldsberg to lead its efforts in the Scandinavian ship finance sector. Kjeldsberg has been appointed as Head of Nordics for the Philip Clausius-led maritime financial advisory and investment firm. Based in Oslo, Kjeldsberg will work in collaboration with Sebastian Wittgenstein, Transport Capital’s partner and Head of Europe, the company announced on Tuesday.</w:t>
      </w:r>
      <w:r/>
    </w:p>
    <w:p>
      <w:pPr>
        <w:pStyle w:val="Heading3"/>
      </w:pPr>
      <w:r>
        <w:t>Poseidon Principles and Citi’s LNG Funding Scrutinized</w:t>
      </w:r>
      <w:r/>
    </w:p>
    <w:p>
      <w:r/>
      <w:r>
        <w:t>On the fifth anniversary of the Poseidon Principles, Stand.earth has released an analysis highlighting Citi’s extensive financing of LNG shipping projects. Despite Citi’s commitments to decarbonizing maritime shipping, the analysis reveals nearly $741 billion USD has been facilitated by Citi for LNG maritime projects over the past five years. The Poseidon Principles, aiming to align ship finance portfolios with climate targets, are a framework co-founded by Citi for this purpose. The findings point out discrepancies between Citi’s endorsements of climate finance initiatives and its continued funding of LNG projects, which are implicated in worsening the sector’s climate impact.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