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Southampton Study Reveals Regional Disparities in UK Storm Surges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Oceanographers from the University of Southampton have conducted a comprehensive spatial analysis of storm surges across the British Isles, aiming to predict future coastal flooding events exacerbated by climate change. The study, which reviewed data from 1980 to 2017, defined a storm surge as an abnormal rise in seawater level during a storm, caused primarily by wind pushing water onshore.</w:t>
      </w:r>
      <w:r/>
    </w:p>
    <w:p>
      <w:r/>
      <w:r>
        <w:t>Key findings from the study revealed that coastlines in the north of the Irish Sea experience the longest and largest surges, while those around the southwest coast of England exhibit the shortest and smallest surges. The winter seasons of 1989/90 and 2013/14 marked the periods with the highest number and severity of storm surge events, with 1989/90's storm on February 26 affecting the north, east, and west coasts and prompting the evacuation of five thousand people in Wales. The 2013/14 winter season saw the highest frequency of severe flooding, including a notable storm surge on December 5, 2013, which resulted in 36 flood warnings and property losses in East Anglia.</w:t>
      </w:r>
      <w:r/>
    </w:p>
    <w:p>
      <w:r/>
      <w:r>
        <w:t>The research, published in the June edition of the Weather and Climate Extremes journal, emphasizes the importance of understanding storm characteristics to improve predictive models for coastal flooding. This study also involved collaboration with scientists from Spain, the USA, and The Netherlands.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